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7510" w14:textId="77777777" w:rsidR="006C7DA2" w:rsidRPr="00E03F06" w:rsidRDefault="006C7DA2" w:rsidP="006C7DA2">
      <w:pPr>
        <w:pStyle w:val="Heading1"/>
      </w:pPr>
      <w:r w:rsidRPr="00E03F06">
        <w:t>SEND Reforms: Evidence Brief</w:t>
      </w:r>
    </w:p>
    <w:p w14:paraId="2503E538" w14:textId="4E92889F" w:rsidR="006C7DA2" w:rsidRPr="00E03F06" w:rsidRDefault="006C7DA2" w:rsidP="006C7DA2">
      <w:pPr>
        <w:pStyle w:val="Heading1"/>
      </w:pPr>
      <w:r w:rsidRPr="00E03F06">
        <w:t>Supporting Thomas Pocklington Trus</w:t>
      </w:r>
      <w:r>
        <w:t xml:space="preserve">t </w:t>
      </w:r>
      <w:r w:rsidRPr="00E03F06">
        <w:t>consultation response</w:t>
      </w:r>
    </w:p>
    <w:p w14:paraId="217D594E" w14:textId="77777777" w:rsidR="006C7DA2" w:rsidRDefault="006C7DA2" w:rsidP="006C7DA2">
      <w:pPr>
        <w:pStyle w:val="Heading2"/>
      </w:pPr>
    </w:p>
    <w:p w14:paraId="60D7D582" w14:textId="77777777" w:rsidR="006C7DA2" w:rsidRPr="00E03F06" w:rsidRDefault="006C7DA2" w:rsidP="006C7DA2">
      <w:pPr>
        <w:pStyle w:val="Heading2"/>
      </w:pPr>
      <w:r w:rsidRPr="00E03F06">
        <w:t>Overview</w:t>
      </w:r>
    </w:p>
    <w:p w14:paraId="5326C3B4" w14:textId="560E7813" w:rsidR="006C7DA2" w:rsidRPr="00E03F06" w:rsidRDefault="006C7DA2" w:rsidP="006C7DA2">
      <w:pPr>
        <w:autoSpaceDE w:val="0"/>
        <w:autoSpaceDN w:val="0"/>
        <w:adjustRightInd w:val="0"/>
        <w:spacing w:after="320" w:line="276" w:lineRule="auto"/>
        <w:rPr>
          <w:rFonts w:cs="Arial"/>
        </w:rPr>
      </w:pPr>
      <w:r w:rsidRPr="19934A75">
        <w:rPr>
          <w:rFonts w:cs="Arial"/>
        </w:rPr>
        <w:t>This Evidence Brief has been produced by Thomas Pocklington Trust (TPT) to support our formal response to the Government’s consultation on SEND reform. It brings together evidence from blind and partially sighted children and young people, alongside the perspectives of parents</w:t>
      </w:r>
      <w:r w:rsidR="2EF059CE" w:rsidRPr="19934A75">
        <w:rPr>
          <w:rFonts w:cs="Arial"/>
        </w:rPr>
        <w:t xml:space="preserve"> and carers</w:t>
      </w:r>
      <w:r w:rsidRPr="19934A75">
        <w:rPr>
          <w:rFonts w:cs="Arial"/>
        </w:rPr>
        <w:t>, to consider how proposed reforms may affect inclusion, accountability, continuity of support and access to specialist expertise.</w:t>
      </w:r>
    </w:p>
    <w:p w14:paraId="112EA450" w14:textId="0D663386" w:rsidR="006C7DA2" w:rsidRPr="00E03F06" w:rsidRDefault="006C7DA2" w:rsidP="006C7DA2">
      <w:pPr>
        <w:autoSpaceDE w:val="0"/>
        <w:autoSpaceDN w:val="0"/>
        <w:adjustRightInd w:val="0"/>
        <w:spacing w:after="320" w:line="276" w:lineRule="auto"/>
        <w:rPr>
          <w:rFonts w:cs="Arial"/>
        </w:rPr>
      </w:pPr>
      <w:r w:rsidRPr="00E03F06">
        <w:rPr>
          <w:rFonts w:cs="Arial"/>
        </w:rPr>
        <w:t xml:space="preserve">This document expands upon our wider consultation submission, </w:t>
      </w:r>
      <w:r w:rsidR="007D034D">
        <w:rPr>
          <w:rFonts w:cs="Arial"/>
        </w:rPr>
        <w:t xml:space="preserve">by providing </w:t>
      </w:r>
      <w:r w:rsidR="00BE7AEF">
        <w:rPr>
          <w:rFonts w:cs="Arial"/>
        </w:rPr>
        <w:t xml:space="preserve">further </w:t>
      </w:r>
      <w:r w:rsidR="007D034D">
        <w:rPr>
          <w:rFonts w:cs="Arial"/>
        </w:rPr>
        <w:t xml:space="preserve">information from </w:t>
      </w:r>
      <w:r w:rsidR="0065369B">
        <w:rPr>
          <w:rFonts w:cs="Arial"/>
        </w:rPr>
        <w:t xml:space="preserve">young people and </w:t>
      </w:r>
      <w:r w:rsidR="007D034D">
        <w:rPr>
          <w:rFonts w:cs="Arial"/>
        </w:rPr>
        <w:t xml:space="preserve">parents/carers </w:t>
      </w:r>
      <w:r w:rsidR="0065369B">
        <w:rPr>
          <w:rFonts w:cs="Arial"/>
        </w:rPr>
        <w:t xml:space="preserve">with lived experience. You can read our consultation response here: </w:t>
      </w:r>
      <w:hyperlink r:id="rId11" w:history="1">
        <w:r w:rsidRPr="00E03F06">
          <w:rPr>
            <w:rStyle w:val="Hyperlink"/>
            <w:rFonts w:cs="Arial"/>
          </w:rPr>
          <w:t>SEND Reforms: Don't Leave Blind and Partially Sighted Students Out of Sight</w:t>
        </w:r>
      </w:hyperlink>
      <w:r w:rsidRPr="00E03F06">
        <w:rPr>
          <w:rFonts w:cs="Arial"/>
        </w:rPr>
        <w:t xml:space="preserve">. </w:t>
      </w:r>
    </w:p>
    <w:p w14:paraId="45625552" w14:textId="582093C1" w:rsidR="006C7DA2" w:rsidRPr="00E03F06" w:rsidRDefault="006C7DA2" w:rsidP="006C7DA2">
      <w:pPr>
        <w:autoSpaceDE w:val="0"/>
        <w:autoSpaceDN w:val="0"/>
        <w:adjustRightInd w:val="0"/>
        <w:spacing w:after="320" w:line="276" w:lineRule="auto"/>
        <w:rPr>
          <w:rFonts w:cs="Arial"/>
        </w:rPr>
      </w:pPr>
      <w:r w:rsidRPr="19934A75">
        <w:rPr>
          <w:rFonts w:cs="Arial"/>
        </w:rPr>
        <w:t>All evidence presented here relates specifically to vision impairment. While some participants may have additional needs, the discussion and analysis focus on access requirements, barriers and support systems associated with vision impairment as a low</w:t>
      </w:r>
      <w:r w:rsidR="00BE7AEF">
        <w:rPr>
          <w:rFonts w:ascii="Cambria Math" w:hAnsi="Cambria Math" w:cs="Cambria Math"/>
        </w:rPr>
        <w:t xml:space="preserve"> </w:t>
      </w:r>
      <w:r w:rsidRPr="19934A75">
        <w:rPr>
          <w:rFonts w:cs="Arial"/>
        </w:rPr>
        <w:t>incidence sensory need.</w:t>
      </w:r>
    </w:p>
    <w:p w14:paraId="687016D5" w14:textId="77777777" w:rsidR="006C7DA2" w:rsidRPr="00E03F06" w:rsidRDefault="006C7DA2" w:rsidP="006C7DA2">
      <w:pPr>
        <w:autoSpaceDE w:val="0"/>
        <w:autoSpaceDN w:val="0"/>
        <w:adjustRightInd w:val="0"/>
        <w:spacing w:after="320" w:line="276" w:lineRule="auto"/>
        <w:rPr>
          <w:rFonts w:cs="Arial"/>
        </w:rPr>
      </w:pPr>
      <w:r w:rsidRPr="00E03F06">
        <w:rPr>
          <w:rFonts w:cs="Arial"/>
        </w:rPr>
        <w:t>Across all themes, children, young people and parents emphasised that SEND reform will only succeed if it is grounded in lived experience, protects legal entitlements, preserves specialist expertise, and introduces enforceable accountability.</w:t>
      </w:r>
    </w:p>
    <w:p w14:paraId="2F28E6BC" w14:textId="77777777" w:rsidR="006C7DA2" w:rsidRPr="00E03F06" w:rsidRDefault="006C7DA2" w:rsidP="006C7DA2">
      <w:pPr>
        <w:autoSpaceDE w:val="0"/>
        <w:autoSpaceDN w:val="0"/>
        <w:adjustRightInd w:val="0"/>
        <w:spacing w:line="276" w:lineRule="auto"/>
        <w:rPr>
          <w:rFonts w:cs="Arial"/>
          <w:color w:val="6D6D6D"/>
        </w:rPr>
      </w:pPr>
    </w:p>
    <w:p w14:paraId="4F288FB7" w14:textId="77777777" w:rsidR="006C7DA2" w:rsidRPr="00E03F06" w:rsidRDefault="006C7DA2" w:rsidP="006C7DA2">
      <w:pPr>
        <w:pStyle w:val="Heading2"/>
      </w:pPr>
      <w:r w:rsidRPr="00E03F06">
        <w:lastRenderedPageBreak/>
        <w:t>1. Inclusive Mainstream Education: What Does It Mean in Practice?</w:t>
      </w:r>
    </w:p>
    <w:p w14:paraId="621E3C04" w14:textId="549705CC" w:rsidR="006C7DA2" w:rsidRPr="00E03F06" w:rsidRDefault="006C7DA2" w:rsidP="006C7DA2">
      <w:pPr>
        <w:autoSpaceDE w:val="0"/>
        <w:autoSpaceDN w:val="0"/>
        <w:adjustRightInd w:val="0"/>
        <w:spacing w:after="320" w:line="276" w:lineRule="auto"/>
        <w:rPr>
          <w:rFonts w:cs="Arial"/>
        </w:rPr>
      </w:pPr>
      <w:r w:rsidRPr="60DC84B2">
        <w:rPr>
          <w:rFonts w:cs="Arial"/>
        </w:rPr>
        <w:t xml:space="preserve">Children and young people consistently described inclusion in mainstream education </w:t>
      </w:r>
      <w:r w:rsidR="48A05AC3" w:rsidRPr="60DC84B2">
        <w:rPr>
          <w:rFonts w:cs="Arial"/>
        </w:rPr>
        <w:t xml:space="preserve">now </w:t>
      </w:r>
      <w:r w:rsidRPr="60DC84B2">
        <w:rPr>
          <w:rFonts w:cs="Arial"/>
        </w:rPr>
        <w:t>as physical presence without meaningful participation. Many reported being seated separately, excluded from peer interaction, or expected to adapt to inaccessible teaching approaches. Inclusion, as experienced, was often conditional and fragile rather than systemic.</w:t>
      </w:r>
    </w:p>
    <w:p w14:paraId="3CF14BCE"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“Putting a student right at the back on a little desk all by themselves makes them quite literally on their own little island.” </w:t>
      </w:r>
      <w:r w:rsidRPr="00E03F06">
        <w:rPr>
          <w:rFonts w:ascii="MS Gothic" w:eastAsia="MS Gothic" w:hAnsi="MS Gothic" w:cs="MS Gothic" w:hint="eastAsia"/>
        </w:rPr>
        <w:t> </w:t>
      </w:r>
      <w:r w:rsidRPr="00E03F06">
        <w:rPr>
          <w:rFonts w:cs="Arial"/>
        </w:rPr>
        <w:t>Blind and Partially Sighted Student</w:t>
      </w:r>
    </w:p>
    <w:p w14:paraId="0FF5FC53"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“Inclusive mainstream is making sure you are part of the class and treated as part of the class.” </w:t>
      </w:r>
      <w:r w:rsidRPr="00E03F06">
        <w:rPr>
          <w:rFonts w:ascii="MS Gothic" w:eastAsia="MS Gothic" w:hAnsi="MS Gothic" w:cs="MS Gothic" w:hint="eastAsia"/>
        </w:rPr>
        <w:t> </w:t>
      </w:r>
      <w:r w:rsidRPr="00E03F06">
        <w:rPr>
          <w:rFonts w:cs="Arial"/>
        </w:rPr>
        <w:t>Blind and Partially Sighted Student</w:t>
      </w:r>
    </w:p>
    <w:p w14:paraId="6ADDB180" w14:textId="568590A0" w:rsidR="006C7DA2" w:rsidRPr="00E03F06" w:rsidRDefault="006C7DA2" w:rsidP="006C7DA2">
      <w:pPr>
        <w:autoSpaceDE w:val="0"/>
        <w:autoSpaceDN w:val="0"/>
        <w:adjustRightInd w:val="0"/>
        <w:spacing w:after="320" w:line="276" w:lineRule="auto"/>
        <w:rPr>
          <w:rFonts w:cs="Arial"/>
        </w:rPr>
      </w:pPr>
      <w:r w:rsidRPr="7176B508">
        <w:rPr>
          <w:rFonts w:cs="Arial"/>
        </w:rPr>
        <w:t>Young people emphasised that practical adjustments</w:t>
      </w:r>
      <w:r w:rsidR="45740468" w:rsidRPr="7176B508">
        <w:rPr>
          <w:rFonts w:cs="Arial"/>
        </w:rPr>
        <w:t>,</w:t>
      </w:r>
      <w:r w:rsidRPr="7176B508">
        <w:rPr>
          <w:rFonts w:cs="Arial"/>
        </w:rPr>
        <w:t xml:space="preserve"> such as seating arrangements, accessible formats, and flexibility around movement and timing were essential to feeling included. When these were absent, students described loneliness, frustration and disengagement.</w:t>
      </w:r>
    </w:p>
    <w:p w14:paraId="55EF61ED"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“You either try and go out and find your friends or you stay in this room. And that can be incredibly lonely.” </w:t>
      </w:r>
      <w:r w:rsidRPr="00E03F06">
        <w:rPr>
          <w:rFonts w:ascii="MS Gothic" w:eastAsia="MS Gothic" w:hAnsi="MS Gothic" w:cs="MS Gothic" w:hint="eastAsia"/>
        </w:rPr>
        <w:t> </w:t>
      </w:r>
      <w:r w:rsidRPr="00E03F06">
        <w:rPr>
          <w:rFonts w:cs="Arial"/>
        </w:rPr>
        <w:t>Blind and Partially Sighted Student</w:t>
      </w:r>
    </w:p>
    <w:p w14:paraId="5B8CA6A0" w14:textId="79229252" w:rsidR="006C7DA2" w:rsidRPr="00E03F06" w:rsidRDefault="006C7DA2" w:rsidP="006C7DA2">
      <w:pPr>
        <w:autoSpaceDE w:val="0"/>
        <w:autoSpaceDN w:val="0"/>
        <w:adjustRightInd w:val="0"/>
        <w:spacing w:after="320" w:line="276" w:lineRule="auto"/>
        <w:rPr>
          <w:rFonts w:cs="Arial"/>
        </w:rPr>
      </w:pPr>
      <w:r w:rsidRPr="7176B508">
        <w:rPr>
          <w:rFonts w:cs="Arial"/>
        </w:rPr>
        <w:t>“They just photocopy it onto A3 and think that solves the issue</w:t>
      </w:r>
      <w:r w:rsidR="522F967C" w:rsidRPr="7176B508">
        <w:rPr>
          <w:rFonts w:cs="Arial"/>
        </w:rPr>
        <w:t>,</w:t>
      </w:r>
      <w:r w:rsidRPr="7176B508">
        <w:rPr>
          <w:rFonts w:cs="Arial"/>
        </w:rPr>
        <w:t xml:space="preserve"> and it really doesn’t.” </w:t>
      </w:r>
      <w:r w:rsidRPr="7176B508">
        <w:rPr>
          <w:rFonts w:ascii="MS Gothic" w:eastAsia="MS Gothic" w:hAnsi="MS Gothic" w:cs="MS Gothic"/>
        </w:rPr>
        <w:t> </w:t>
      </w:r>
      <w:r w:rsidRPr="7176B508">
        <w:rPr>
          <w:rFonts w:cs="Arial"/>
        </w:rPr>
        <w:t>Blind and Partially Sighted Student</w:t>
      </w:r>
    </w:p>
    <w:p w14:paraId="3DE126AF" w14:textId="5BA42951" w:rsidR="006C7DA2" w:rsidRPr="00E03F06" w:rsidRDefault="006C7DA2" w:rsidP="006C7DA2">
      <w:pPr>
        <w:autoSpaceDE w:val="0"/>
        <w:autoSpaceDN w:val="0"/>
        <w:adjustRightInd w:val="0"/>
        <w:spacing w:after="320" w:line="276" w:lineRule="auto"/>
        <w:rPr>
          <w:rFonts w:cs="Arial"/>
        </w:rPr>
      </w:pPr>
      <w:r w:rsidRPr="7176B508">
        <w:rPr>
          <w:rFonts w:cs="Arial"/>
        </w:rPr>
        <w:t>“Even giving me five minutes early would cut into teaching time</w:t>
      </w:r>
      <w:r w:rsidR="55E0DB99" w:rsidRPr="7176B508">
        <w:rPr>
          <w:rFonts w:cs="Arial"/>
        </w:rPr>
        <w:t>,</w:t>
      </w:r>
      <w:r w:rsidRPr="7176B508">
        <w:rPr>
          <w:rFonts w:cs="Arial"/>
        </w:rPr>
        <w:t xml:space="preserve"> that’s how it was framed.” </w:t>
      </w:r>
      <w:r w:rsidRPr="7176B508">
        <w:rPr>
          <w:rFonts w:ascii="MS Gothic" w:eastAsia="MS Gothic" w:hAnsi="MS Gothic" w:cs="MS Gothic"/>
        </w:rPr>
        <w:t> </w:t>
      </w:r>
      <w:r w:rsidRPr="7176B508">
        <w:rPr>
          <w:rFonts w:cs="Arial"/>
        </w:rPr>
        <w:t>Blind and Partially Sighted Student</w:t>
      </w:r>
    </w:p>
    <w:p w14:paraId="0195EA42" w14:textId="77777777" w:rsidR="006C7DA2" w:rsidRPr="00E03F06" w:rsidRDefault="006C7DA2" w:rsidP="006C7DA2">
      <w:pPr>
        <w:autoSpaceDE w:val="0"/>
        <w:autoSpaceDN w:val="0"/>
        <w:adjustRightInd w:val="0"/>
        <w:spacing w:after="320" w:line="276" w:lineRule="auto"/>
        <w:rPr>
          <w:rFonts w:cs="Arial"/>
        </w:rPr>
      </w:pPr>
      <w:r w:rsidRPr="00E03F06">
        <w:rPr>
          <w:rFonts w:cs="Arial"/>
        </w:rPr>
        <w:t>Parents reinforced this picture, describing inclusion as dependent on goodwill rather than enforceable duties. Where inclusion worked, it was typically underpinned by strong local authority support and specialist input. Where it did not, inaccessible environments, unsafe campuses and inaccessible digital platforms undermined both learning and wellbeing.</w:t>
      </w:r>
    </w:p>
    <w:p w14:paraId="6F48A1EB" w14:textId="77777777" w:rsidR="006C7DA2" w:rsidRPr="00E03F06" w:rsidRDefault="006C7DA2" w:rsidP="006C7DA2">
      <w:pPr>
        <w:autoSpaceDE w:val="0"/>
        <w:autoSpaceDN w:val="0"/>
        <w:adjustRightInd w:val="0"/>
        <w:spacing w:after="320" w:line="276" w:lineRule="auto"/>
        <w:rPr>
          <w:rFonts w:cs="Arial"/>
        </w:rPr>
      </w:pPr>
      <w:r w:rsidRPr="00E03F06">
        <w:rPr>
          <w:rFonts w:cs="Arial"/>
        </w:rPr>
        <w:lastRenderedPageBreak/>
        <w:t xml:space="preserve">“Inclusion should be about the social interaction of our young people… he just became more and more isolated.” </w:t>
      </w:r>
      <w:r w:rsidRPr="00E03F06">
        <w:rPr>
          <w:rFonts w:ascii="MS Gothic" w:eastAsia="MS Gothic" w:hAnsi="MS Gothic" w:cs="MS Gothic" w:hint="eastAsia"/>
        </w:rPr>
        <w:t> </w:t>
      </w:r>
      <w:r w:rsidRPr="00E03F06">
        <w:rPr>
          <w:rFonts w:cs="Arial"/>
        </w:rPr>
        <w:t>Parent</w:t>
      </w:r>
    </w:p>
    <w:p w14:paraId="50789A33"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“Nothing is enforceable. Nobody can be held accountable. You’re constantly relying on other people’s opinions of what they think is best for your child.” </w:t>
      </w:r>
      <w:r w:rsidRPr="00E03F06">
        <w:rPr>
          <w:rFonts w:ascii="MS Gothic" w:eastAsia="MS Gothic" w:hAnsi="MS Gothic" w:cs="MS Gothic" w:hint="eastAsia"/>
        </w:rPr>
        <w:t> </w:t>
      </w:r>
      <w:r w:rsidRPr="00E03F06">
        <w:rPr>
          <w:rFonts w:cs="Arial"/>
        </w:rPr>
        <w:t>Parent</w:t>
      </w:r>
    </w:p>
    <w:p w14:paraId="3DC07610"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“Academy Trusts are standing up electronic platforms which are not accessible. Nobody’s testing accessibility.” </w:t>
      </w:r>
      <w:r w:rsidRPr="00E03F06">
        <w:rPr>
          <w:rFonts w:ascii="MS Gothic" w:eastAsia="MS Gothic" w:hAnsi="MS Gothic" w:cs="MS Gothic" w:hint="eastAsia"/>
        </w:rPr>
        <w:t> </w:t>
      </w:r>
      <w:r w:rsidRPr="00E03F06">
        <w:rPr>
          <w:rFonts w:cs="Arial"/>
        </w:rPr>
        <w:t>Parent</w:t>
      </w:r>
    </w:p>
    <w:p w14:paraId="1B7E0DFE" w14:textId="3587BEAB" w:rsidR="006C7DA2" w:rsidRPr="00E03F06" w:rsidRDefault="006C7DA2" w:rsidP="00FC746C">
      <w:pPr>
        <w:autoSpaceDE w:val="0"/>
        <w:autoSpaceDN w:val="0"/>
        <w:adjustRightInd w:val="0"/>
        <w:spacing w:after="320" w:line="276" w:lineRule="auto"/>
        <w:rPr>
          <w:rFonts w:cs="Arial"/>
        </w:rPr>
      </w:pPr>
      <w:r w:rsidRPr="7176B508">
        <w:rPr>
          <w:rFonts w:cs="Arial"/>
        </w:rPr>
        <w:t>“The school want to be inclusive</w:t>
      </w:r>
      <w:r w:rsidR="2FB810E1" w:rsidRPr="7176B508">
        <w:rPr>
          <w:rFonts w:cs="Arial"/>
        </w:rPr>
        <w:t xml:space="preserve">, </w:t>
      </w:r>
      <w:r w:rsidRPr="7176B508">
        <w:rPr>
          <w:rFonts w:cs="Arial"/>
        </w:rPr>
        <w:t xml:space="preserve">but they can only do that because they have strong support from the local authority, the QTVI, and habilitation specialists.” </w:t>
      </w:r>
      <w:r w:rsidRPr="7176B508">
        <w:rPr>
          <w:rFonts w:ascii="MS Gothic" w:eastAsia="MS Gothic" w:hAnsi="MS Gothic" w:cs="MS Gothic"/>
        </w:rPr>
        <w:t> </w:t>
      </w:r>
      <w:r w:rsidRPr="7176B508">
        <w:rPr>
          <w:rFonts w:cs="Arial"/>
        </w:rPr>
        <w:t>Parent</w:t>
      </w:r>
    </w:p>
    <w:p w14:paraId="62DAACD8" w14:textId="462EB08E" w:rsidR="006C7DA2" w:rsidRPr="00294883" w:rsidRDefault="006C7DA2" w:rsidP="00FC746C">
      <w:pPr>
        <w:pStyle w:val="NormalWeb"/>
        <w:spacing w:line="276" w:lineRule="auto"/>
        <w:rPr>
          <w:rFonts w:ascii="Arial" w:hAnsi="Arial" w:cs="Arial"/>
          <w:color w:val="000000"/>
          <w:sz w:val="28"/>
          <w:szCs w:val="28"/>
        </w:rPr>
      </w:pPr>
      <w:r w:rsidRPr="7176B508">
        <w:rPr>
          <w:rFonts w:ascii="Arial" w:eastAsia="Arial" w:hAnsi="Arial" w:cs="Arial"/>
          <w:sz w:val="28"/>
          <w:szCs w:val="28"/>
        </w:rPr>
        <w:t xml:space="preserve">Evidence supports our recommendation that </w:t>
      </w:r>
      <w:r w:rsidRPr="7176B508">
        <w:rPr>
          <w:rFonts w:ascii="Arial" w:eastAsia="Arial" w:hAnsi="Arial" w:cs="Arial"/>
          <w:color w:val="000000" w:themeColor="text1"/>
          <w:sz w:val="28"/>
          <w:szCs w:val="28"/>
        </w:rPr>
        <w:t>there must be explicit inclusion of Vision Impairment across the SEND system, including within layers of support and National Inclusion Standards, with the Curriculum Framework for Children and Young People with Vision Impairment (CFVI) must be embedded in national policy and practice.</w:t>
      </w:r>
    </w:p>
    <w:p w14:paraId="7A25CD7B" w14:textId="77777777" w:rsidR="006C7DA2" w:rsidRPr="00E03F06" w:rsidRDefault="006C7DA2" w:rsidP="006C7DA2">
      <w:pPr>
        <w:pStyle w:val="Heading2"/>
      </w:pPr>
      <w:r w:rsidRPr="00E03F06">
        <w:t>2. Support Must Be Continuous, Joined</w:t>
      </w:r>
      <w:r w:rsidRPr="00E03F06">
        <w:rPr>
          <w:rFonts w:ascii="Cambria Math" w:hAnsi="Cambria Math" w:cs="Cambria Math"/>
        </w:rPr>
        <w:t>‑</w:t>
      </w:r>
      <w:r w:rsidRPr="00E03F06">
        <w:t>Up and Individualised</w:t>
      </w:r>
    </w:p>
    <w:p w14:paraId="1748E0EC" w14:textId="77777777" w:rsidR="006C7DA2" w:rsidRPr="00E03F06" w:rsidRDefault="006C7DA2" w:rsidP="006C7DA2">
      <w:pPr>
        <w:autoSpaceDE w:val="0"/>
        <w:autoSpaceDN w:val="0"/>
        <w:adjustRightInd w:val="0"/>
        <w:spacing w:after="320" w:line="276" w:lineRule="auto"/>
        <w:rPr>
          <w:rFonts w:cs="Arial"/>
        </w:rPr>
      </w:pPr>
      <w:r w:rsidRPr="00E03F06">
        <w:rPr>
          <w:rFonts w:cs="Arial"/>
        </w:rPr>
        <w:t>Young people described repeated disruptions to support caused by staff turnover, supply teachers and transitions between settings. Many felt responsible for explaining and defending their access needs, often in environments where staff lacked understanding or authority to act.</w:t>
      </w:r>
    </w:p>
    <w:p w14:paraId="61E96D2A"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“Agency supply teachers aren’t allowed to hand over any information… I’ve been accused of being a liar for using my iPad.” </w:t>
      </w:r>
      <w:r w:rsidRPr="00E03F06">
        <w:rPr>
          <w:rFonts w:ascii="MS Gothic" w:eastAsia="MS Gothic" w:hAnsi="MS Gothic" w:cs="MS Gothic" w:hint="eastAsia"/>
        </w:rPr>
        <w:t> </w:t>
      </w:r>
      <w:r w:rsidRPr="00E03F06">
        <w:rPr>
          <w:rFonts w:cs="Arial"/>
        </w:rPr>
        <w:t>Blind and Partially Sighted Student</w:t>
      </w:r>
    </w:p>
    <w:p w14:paraId="530DBD46"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 had to ask for things 24/7 in secondary school, but when I went to college the plan moved with me.” </w:t>
      </w:r>
      <w:r w:rsidRPr="00E03F06">
        <w:rPr>
          <w:rFonts w:ascii="MS Gothic" w:eastAsia="MS Gothic" w:hAnsi="MS Gothic" w:cs="MS Gothic" w:hint="eastAsia"/>
        </w:rPr>
        <w:t> </w:t>
      </w:r>
      <w:r w:rsidRPr="00E03F06">
        <w:rPr>
          <w:rFonts w:cs="Arial"/>
        </w:rPr>
        <w:t>Blind and Partially Sighted Student</w:t>
      </w:r>
    </w:p>
    <w:p w14:paraId="5122F82D" w14:textId="77777777" w:rsidR="006C7DA2" w:rsidRDefault="006C7DA2" w:rsidP="006C7DA2">
      <w:pPr>
        <w:autoSpaceDE w:val="0"/>
        <w:autoSpaceDN w:val="0"/>
        <w:adjustRightInd w:val="0"/>
        <w:spacing w:after="320" w:line="276" w:lineRule="auto"/>
        <w:rPr>
          <w:rFonts w:cs="Arial"/>
        </w:rPr>
      </w:pPr>
      <w:r w:rsidRPr="00C57EA0">
        <w:rPr>
          <w:rFonts w:cs="Arial"/>
        </w:rPr>
        <w:t xml:space="preserve">Young people made clear that having the same impairment does not mean having the same access </w:t>
      </w:r>
      <w:proofErr w:type="gramStart"/>
      <w:r w:rsidRPr="00C57EA0">
        <w:rPr>
          <w:rFonts w:cs="Arial"/>
        </w:rPr>
        <w:t>needs, and</w:t>
      </w:r>
      <w:proofErr w:type="gramEnd"/>
      <w:r w:rsidRPr="00C57EA0">
        <w:rPr>
          <w:rFonts w:cs="Arial"/>
        </w:rPr>
        <w:t xml:space="preserve"> warned against systems that reduce support to rigid checklists. Drawing on experiences of other </w:t>
      </w:r>
      <w:r w:rsidRPr="00C57EA0">
        <w:rPr>
          <w:rFonts w:cs="Arial"/>
        </w:rPr>
        <w:lastRenderedPageBreak/>
        <w:t>assessment processes, they stressed that education must avoid replicating box</w:t>
      </w:r>
      <w:r w:rsidRPr="00C57EA0">
        <w:rPr>
          <w:rFonts w:ascii="Cambria Math" w:hAnsi="Cambria Math" w:cs="Cambria Math"/>
        </w:rPr>
        <w:t>‑</w:t>
      </w:r>
      <w:r w:rsidRPr="00C57EA0">
        <w:rPr>
          <w:rFonts w:cs="Arial"/>
        </w:rPr>
        <w:t>ticking models and instead respond flexibly to the specific, evolving needs of each student.</w:t>
      </w:r>
    </w:p>
    <w:p w14:paraId="4597B6B5"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“Two people can both be visually impaired and have completely different needs.” </w:t>
      </w:r>
      <w:r w:rsidRPr="00E03F06">
        <w:rPr>
          <w:rFonts w:ascii="MS Gothic" w:eastAsia="MS Gothic" w:hAnsi="MS Gothic" w:cs="MS Gothic" w:hint="eastAsia"/>
        </w:rPr>
        <w:t> </w:t>
      </w:r>
      <w:r w:rsidRPr="00E03F06">
        <w:rPr>
          <w:rFonts w:cs="Arial"/>
        </w:rPr>
        <w:t>Blind and Partially Sighted Student</w:t>
      </w:r>
    </w:p>
    <w:p w14:paraId="684907DB" w14:textId="4804B000" w:rsidR="006C7DA2" w:rsidRPr="00E03F06" w:rsidRDefault="006C7DA2" w:rsidP="006C7DA2">
      <w:pPr>
        <w:autoSpaceDE w:val="0"/>
        <w:autoSpaceDN w:val="0"/>
        <w:adjustRightInd w:val="0"/>
        <w:spacing w:after="320" w:line="276" w:lineRule="auto"/>
        <w:rPr>
          <w:rFonts w:cs="Arial"/>
        </w:rPr>
      </w:pPr>
      <w:r w:rsidRPr="00E03F06">
        <w:rPr>
          <w:rFonts w:cs="Arial"/>
        </w:rPr>
        <w:t>“Disabled students already deal with box</w:t>
      </w:r>
      <w:r w:rsidRPr="00E03F06">
        <w:rPr>
          <w:rFonts w:ascii="Cambria Math" w:hAnsi="Cambria Math" w:cs="Cambria Math"/>
        </w:rPr>
        <w:t>‑</w:t>
      </w:r>
      <w:r w:rsidRPr="00E03F06">
        <w:rPr>
          <w:rFonts w:cs="Arial"/>
        </w:rPr>
        <w:t>ticking like PIP</w:t>
      </w:r>
      <w:r w:rsidR="00FC746C">
        <w:rPr>
          <w:rFonts w:cs="Arial"/>
        </w:rPr>
        <w:t xml:space="preserve">, </w:t>
      </w:r>
      <w:r w:rsidRPr="00E03F06">
        <w:rPr>
          <w:rFonts w:cs="Arial"/>
        </w:rPr>
        <w:t xml:space="preserve">education shouldn’t copy that.” </w:t>
      </w:r>
      <w:r w:rsidRPr="00E03F06">
        <w:rPr>
          <w:rFonts w:ascii="MS Gothic" w:eastAsia="MS Gothic" w:hAnsi="MS Gothic" w:cs="MS Gothic" w:hint="eastAsia"/>
        </w:rPr>
        <w:t> </w:t>
      </w:r>
      <w:r w:rsidRPr="00E03F06">
        <w:rPr>
          <w:rFonts w:cs="Arial"/>
        </w:rPr>
        <w:t>Blind and Partially Sighted Student</w:t>
      </w:r>
    </w:p>
    <w:p w14:paraId="54BF4F0C" w14:textId="77777777" w:rsidR="006C7DA2" w:rsidRPr="00E03F06" w:rsidRDefault="006C7DA2" w:rsidP="006C7DA2">
      <w:pPr>
        <w:autoSpaceDE w:val="0"/>
        <w:autoSpaceDN w:val="0"/>
        <w:adjustRightInd w:val="0"/>
        <w:spacing w:after="320" w:line="276" w:lineRule="auto"/>
        <w:rPr>
          <w:rFonts w:cs="Arial"/>
        </w:rPr>
      </w:pPr>
      <w:r w:rsidRPr="00E03F06">
        <w:rPr>
          <w:rFonts w:cs="Arial"/>
        </w:rPr>
        <w:t>Parents described fragmented communication between schools, local authorities and specialist services, leaving families to coordinate support systems themselves. Both groups rejected simplified or tiered approaches to SEND support, emphasising that vision impairment affects individuals differently and requires personalised, specialist input.</w:t>
      </w:r>
    </w:p>
    <w:p w14:paraId="4A486E2E"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“I’m the least qualified person, yet I’m the one accountable.” </w:t>
      </w:r>
      <w:r w:rsidRPr="00E03F06">
        <w:rPr>
          <w:rFonts w:ascii="MS Gothic" w:eastAsia="MS Gothic" w:hAnsi="MS Gothic" w:cs="MS Gothic" w:hint="eastAsia"/>
        </w:rPr>
        <w:t> </w:t>
      </w:r>
      <w:r w:rsidRPr="00E03F06">
        <w:rPr>
          <w:rFonts w:cs="Arial"/>
        </w:rPr>
        <w:t>Parent</w:t>
      </w:r>
    </w:p>
    <w:p w14:paraId="57B7A6FD"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“The QTVI can’t hold the school accountable, and the school can just do what they want.” </w:t>
      </w:r>
      <w:r w:rsidRPr="00E03F06">
        <w:rPr>
          <w:rFonts w:ascii="MS Gothic" w:eastAsia="MS Gothic" w:hAnsi="MS Gothic" w:cs="MS Gothic" w:hint="eastAsia"/>
        </w:rPr>
        <w:t> </w:t>
      </w:r>
      <w:r w:rsidRPr="00E03F06">
        <w:rPr>
          <w:rFonts w:cs="Arial"/>
        </w:rPr>
        <w:t>Parent</w:t>
      </w:r>
    </w:p>
    <w:p w14:paraId="3B8E0E4E"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“He’s on his sixth maths teacher since year seven.” </w:t>
      </w:r>
      <w:r w:rsidRPr="00E03F06">
        <w:rPr>
          <w:rFonts w:ascii="MS Gothic" w:eastAsia="MS Gothic" w:hAnsi="MS Gothic" w:cs="MS Gothic" w:hint="eastAsia"/>
        </w:rPr>
        <w:t> </w:t>
      </w:r>
      <w:r w:rsidRPr="00E03F06">
        <w:rPr>
          <w:rFonts w:cs="Arial"/>
        </w:rPr>
        <w:t>Parent</w:t>
      </w:r>
    </w:p>
    <w:p w14:paraId="53C78A5F"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“No matter how much training is put in place, the turnover means they never grasp it.” </w:t>
      </w:r>
      <w:r w:rsidRPr="00E03F06">
        <w:rPr>
          <w:rFonts w:ascii="MS Gothic" w:eastAsia="MS Gothic" w:hAnsi="MS Gothic" w:cs="MS Gothic" w:hint="eastAsia"/>
        </w:rPr>
        <w:t> </w:t>
      </w:r>
      <w:r w:rsidRPr="00E03F06">
        <w:rPr>
          <w:rFonts w:cs="Arial"/>
        </w:rPr>
        <w:t>Parent</w:t>
      </w:r>
    </w:p>
    <w:p w14:paraId="291435A8" w14:textId="77777777" w:rsidR="006C7DA2" w:rsidRPr="00E03F06" w:rsidRDefault="006C7DA2" w:rsidP="006C7DA2">
      <w:pPr>
        <w:pStyle w:val="NormalWeb"/>
        <w:spacing w:line="360" w:lineRule="auto"/>
        <w:rPr>
          <w:rFonts w:ascii="Arial" w:hAnsi="Arial" w:cs="Arial"/>
          <w:color w:val="000000"/>
          <w:sz w:val="28"/>
          <w:szCs w:val="28"/>
        </w:rPr>
      </w:pPr>
      <w:r w:rsidRPr="00E03F06">
        <w:rPr>
          <w:rFonts w:ascii="Arial" w:hAnsi="Arial" w:cs="Arial"/>
          <w:color w:val="000000"/>
          <w:sz w:val="28"/>
          <w:szCs w:val="28"/>
        </w:rPr>
        <w:t>There must be guaranteed access to specialist vision impairment support from ages 0–25, ensuring all blind and partially sighted children and young people receive support from Qualified Teachers for Children and Young People with a Vision Impairment (QTVIs) and habilitation specialists from diagnosis, without depending on an Education, Health and Care Plan (EHCP) or placement type.</w:t>
      </w:r>
    </w:p>
    <w:p w14:paraId="075B2B07" w14:textId="77777777" w:rsidR="006C7DA2" w:rsidRPr="00E03F06" w:rsidRDefault="006C7DA2" w:rsidP="006C7DA2">
      <w:pPr>
        <w:pStyle w:val="Heading2"/>
      </w:pPr>
      <w:r w:rsidRPr="00E03F06">
        <w:lastRenderedPageBreak/>
        <w:t>3. Individual Support Plans (ISPs): Support in Principle, Serious Risks in Practice</w:t>
      </w:r>
    </w:p>
    <w:p w14:paraId="4F8E5979" w14:textId="5F68496D" w:rsidR="006C7DA2" w:rsidRPr="00E03F06" w:rsidRDefault="006C7DA2" w:rsidP="00FC746C">
      <w:pPr>
        <w:autoSpaceDE w:val="0"/>
        <w:autoSpaceDN w:val="0"/>
        <w:adjustRightInd w:val="0"/>
        <w:spacing w:after="320" w:line="276" w:lineRule="auto"/>
        <w:ind w:right="95"/>
        <w:rPr>
          <w:rFonts w:cs="Arial"/>
        </w:rPr>
      </w:pPr>
      <w:r w:rsidRPr="00E03F06">
        <w:rPr>
          <w:rFonts w:cs="Arial"/>
        </w:rPr>
        <w:t>Children and young people supported ISPs where they were</w:t>
      </w:r>
      <w:r w:rsidR="00FC746C">
        <w:rPr>
          <w:rFonts w:cs="Arial"/>
        </w:rPr>
        <w:t xml:space="preserve"> </w:t>
      </w:r>
      <w:r w:rsidRPr="00E03F06">
        <w:rPr>
          <w:rFonts w:cs="Arial"/>
        </w:rPr>
        <w:t>personalised, detailed and portable. Some described positive experiences of plans written in their own voice that clearly communicated access needs.</w:t>
      </w:r>
    </w:p>
    <w:p w14:paraId="230B5E0F"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 wrote my own document in my own voice… that was really empowering.” </w:t>
      </w:r>
      <w:r w:rsidRPr="00E03F06">
        <w:rPr>
          <w:rFonts w:ascii="MS Gothic" w:eastAsia="MS Gothic" w:hAnsi="MS Gothic" w:cs="MS Gothic" w:hint="eastAsia"/>
        </w:rPr>
        <w:t> </w:t>
      </w:r>
      <w:r w:rsidRPr="00E03F06">
        <w:rPr>
          <w:rFonts w:cs="Arial"/>
        </w:rPr>
        <w:t>Blind and Partially Sighted Student</w:t>
      </w:r>
    </w:p>
    <w:p w14:paraId="06243CE5"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“At university, learning plans work because they clearly tell staff what you need.” </w:t>
      </w:r>
      <w:r w:rsidRPr="00E03F06">
        <w:rPr>
          <w:rFonts w:ascii="MS Gothic" w:eastAsia="MS Gothic" w:hAnsi="MS Gothic" w:cs="MS Gothic" w:hint="eastAsia"/>
        </w:rPr>
        <w:t> </w:t>
      </w:r>
      <w:r w:rsidRPr="00E03F06">
        <w:rPr>
          <w:rFonts w:cs="Arial"/>
        </w:rPr>
        <w:t>Blind and Partially Sighted Student</w:t>
      </w:r>
    </w:p>
    <w:p w14:paraId="3740CFB2"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“Include what font size you read, whether you need braille, where you sit in class.” </w:t>
      </w:r>
      <w:r w:rsidRPr="00E03F06">
        <w:rPr>
          <w:rFonts w:ascii="MS Gothic" w:eastAsia="MS Gothic" w:hAnsi="MS Gothic" w:cs="MS Gothic" w:hint="eastAsia"/>
        </w:rPr>
        <w:t> </w:t>
      </w:r>
      <w:r w:rsidRPr="00E03F06">
        <w:rPr>
          <w:rFonts w:cs="Arial"/>
        </w:rPr>
        <w:t>Blind and Partially Sighted Student</w:t>
      </w:r>
    </w:p>
    <w:p w14:paraId="4C6CA379"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“It needs to emphasise what a student actually needs, not just that they have a need.” </w:t>
      </w:r>
      <w:r w:rsidRPr="00E03F06">
        <w:rPr>
          <w:rFonts w:ascii="MS Gothic" w:eastAsia="MS Gothic" w:hAnsi="MS Gothic" w:cs="MS Gothic" w:hint="eastAsia"/>
        </w:rPr>
        <w:t> </w:t>
      </w:r>
      <w:r w:rsidRPr="00E03F06">
        <w:rPr>
          <w:rFonts w:cs="Arial"/>
        </w:rPr>
        <w:t>Blind and Partially Sighted Student</w:t>
      </w:r>
    </w:p>
    <w:p w14:paraId="7EC8418E" w14:textId="00159CCE" w:rsidR="006C7DA2" w:rsidRPr="00E03F06" w:rsidRDefault="006C7DA2" w:rsidP="006C7DA2">
      <w:pPr>
        <w:autoSpaceDE w:val="0"/>
        <w:autoSpaceDN w:val="0"/>
        <w:adjustRightInd w:val="0"/>
        <w:spacing w:after="320" w:line="276" w:lineRule="auto"/>
        <w:rPr>
          <w:rFonts w:cs="Arial"/>
        </w:rPr>
      </w:pPr>
      <w:r w:rsidRPr="00E03F06">
        <w:rPr>
          <w:rFonts w:cs="Arial"/>
        </w:rPr>
        <w:t xml:space="preserve">However, both parents and young people expressed deep concern that ISPs could replace or dilute EHCP protections. Without legal force, families feared plans would become administrative documents with no accountability, shifting responsibility onto </w:t>
      </w:r>
      <w:r w:rsidR="00DE7661">
        <w:rPr>
          <w:rFonts w:cs="Arial"/>
        </w:rPr>
        <w:t xml:space="preserve">learners </w:t>
      </w:r>
      <w:r w:rsidRPr="00E03F06">
        <w:rPr>
          <w:rFonts w:cs="Arial"/>
        </w:rPr>
        <w:t>and parents.</w:t>
      </w:r>
    </w:p>
    <w:p w14:paraId="6387D44D"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“My concern is these plans aren’t legal documents… without that protection, students will have to fight year after year.” </w:t>
      </w:r>
      <w:r w:rsidRPr="00E03F06">
        <w:rPr>
          <w:rFonts w:ascii="MS Gothic" w:eastAsia="MS Gothic" w:hAnsi="MS Gothic" w:cs="MS Gothic" w:hint="eastAsia"/>
        </w:rPr>
        <w:t> </w:t>
      </w:r>
      <w:r w:rsidRPr="00E03F06">
        <w:rPr>
          <w:rFonts w:cs="Arial"/>
        </w:rPr>
        <w:t>Blind and Partially Sighted Student</w:t>
      </w:r>
    </w:p>
    <w:p w14:paraId="6CE88794"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“My child had an individual support plan for five years. Nothing was done. It was a pointless piece of paper.” </w:t>
      </w:r>
      <w:r w:rsidRPr="00E03F06">
        <w:rPr>
          <w:rFonts w:ascii="MS Gothic" w:eastAsia="MS Gothic" w:hAnsi="MS Gothic" w:cs="MS Gothic" w:hint="eastAsia"/>
        </w:rPr>
        <w:t> </w:t>
      </w:r>
      <w:r w:rsidRPr="00E03F06">
        <w:rPr>
          <w:rFonts w:cs="Arial"/>
        </w:rPr>
        <w:t>Parent</w:t>
      </w:r>
    </w:p>
    <w:p w14:paraId="2FA63167" w14:textId="77777777" w:rsidR="006C7DA2" w:rsidRPr="00E03F06" w:rsidRDefault="006C7DA2" w:rsidP="006C7DA2">
      <w:pPr>
        <w:autoSpaceDE w:val="0"/>
        <w:autoSpaceDN w:val="0"/>
        <w:adjustRightInd w:val="0"/>
        <w:spacing w:after="320" w:line="276" w:lineRule="auto"/>
        <w:rPr>
          <w:rFonts w:cs="Arial"/>
        </w:rPr>
      </w:pPr>
      <w:r w:rsidRPr="00E03F06">
        <w:rPr>
          <w:rFonts w:cs="Arial"/>
        </w:rPr>
        <w:t>“My child’s EHCP is 70 pages long. There’s no way a one</w:t>
      </w:r>
      <w:r w:rsidRPr="00E03F06">
        <w:rPr>
          <w:rFonts w:ascii="Cambria Math" w:hAnsi="Cambria Math" w:cs="Cambria Math"/>
        </w:rPr>
        <w:t>‑</w:t>
      </w:r>
      <w:r w:rsidRPr="00E03F06">
        <w:rPr>
          <w:rFonts w:cs="Arial"/>
        </w:rPr>
        <w:t xml:space="preserve">page plan can do that.” </w:t>
      </w:r>
      <w:r w:rsidRPr="00E03F06">
        <w:rPr>
          <w:rFonts w:ascii="MS Gothic" w:eastAsia="MS Gothic" w:hAnsi="MS Gothic" w:cs="MS Gothic" w:hint="eastAsia"/>
        </w:rPr>
        <w:t> </w:t>
      </w:r>
      <w:r w:rsidRPr="00E03F06">
        <w:rPr>
          <w:rFonts w:cs="Arial"/>
        </w:rPr>
        <w:t>Parent</w:t>
      </w:r>
    </w:p>
    <w:p w14:paraId="15C200D5"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“Agency without enforceability leaves students unprotected.” </w:t>
      </w:r>
      <w:r w:rsidRPr="00E03F06">
        <w:rPr>
          <w:rFonts w:ascii="MS Gothic" w:eastAsia="MS Gothic" w:hAnsi="MS Gothic" w:cs="MS Gothic" w:hint="eastAsia"/>
        </w:rPr>
        <w:t> </w:t>
      </w:r>
      <w:r w:rsidRPr="00E03F06">
        <w:rPr>
          <w:rFonts w:cs="Arial"/>
        </w:rPr>
        <w:t>Parent</w:t>
      </w:r>
    </w:p>
    <w:p w14:paraId="4EA698A3"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“Who makes sure every teacher has read it and understood it?” </w:t>
      </w:r>
      <w:r w:rsidRPr="00E03F06">
        <w:rPr>
          <w:rFonts w:ascii="MS Gothic" w:eastAsia="MS Gothic" w:hAnsi="MS Gothic" w:cs="MS Gothic" w:hint="eastAsia"/>
        </w:rPr>
        <w:t> </w:t>
      </w:r>
      <w:r w:rsidRPr="00E03F06">
        <w:rPr>
          <w:rFonts w:cs="Arial"/>
        </w:rPr>
        <w:t>Parent</w:t>
      </w:r>
    </w:p>
    <w:p w14:paraId="683A73F6" w14:textId="2F7EE370" w:rsidR="006C7DA2" w:rsidRPr="00E03F06" w:rsidRDefault="006C7DA2" w:rsidP="00EE75D8">
      <w:pPr>
        <w:autoSpaceDE w:val="0"/>
        <w:autoSpaceDN w:val="0"/>
        <w:adjustRightInd w:val="0"/>
        <w:spacing w:after="320" w:line="276" w:lineRule="auto"/>
        <w:rPr>
          <w:rFonts w:cs="Arial"/>
        </w:rPr>
      </w:pPr>
      <w:r w:rsidRPr="00E03F06">
        <w:rPr>
          <w:rFonts w:cs="Arial"/>
        </w:rPr>
        <w:lastRenderedPageBreak/>
        <w:t xml:space="preserve">Young people and parents emphasised the importance of plans that are digital and able to move seamlessly with them across educational phases, reducing disruption at transitions and limiting the need to repeatedly explain their needs. They also stressed that plans must be living documents, capable of being updated as access requirements change over time. This flexibility and portability </w:t>
      </w:r>
      <w:proofErr w:type="gramStart"/>
      <w:r w:rsidRPr="00E03F06">
        <w:rPr>
          <w:rFonts w:cs="Arial"/>
        </w:rPr>
        <w:t>is</w:t>
      </w:r>
      <w:proofErr w:type="gramEnd"/>
      <w:r w:rsidRPr="00E03F06">
        <w:rPr>
          <w:rFonts w:cs="Arial"/>
        </w:rPr>
        <w:t xml:space="preserve"> meaningful if plans are developed with appropriate specialist input, making clear that it is not credible or effective to design support for vision impaired learners. These perspectives underline that individualised planning must combine student voice, continuity and specialist knowledge to be effective in practice.</w:t>
      </w:r>
    </w:p>
    <w:p w14:paraId="257FA0E6" w14:textId="7F5694D5" w:rsidR="006C7DA2" w:rsidRPr="00E03F06" w:rsidRDefault="006C7DA2" w:rsidP="006C7DA2">
      <w:pPr>
        <w:autoSpaceDE w:val="0"/>
        <w:autoSpaceDN w:val="0"/>
        <w:adjustRightInd w:val="0"/>
        <w:spacing w:after="320" w:line="276" w:lineRule="auto"/>
        <w:rPr>
          <w:rFonts w:cs="Arial"/>
        </w:rPr>
      </w:pPr>
      <w:r w:rsidRPr="00E03F06">
        <w:rPr>
          <w:rFonts w:cs="Arial"/>
        </w:rPr>
        <w:t>“It needs to be digital and move with you</w:t>
      </w:r>
      <w:r w:rsidR="00EE75D8">
        <w:rPr>
          <w:rFonts w:cs="Arial"/>
        </w:rPr>
        <w:t xml:space="preserve">, </w:t>
      </w:r>
      <w:r w:rsidRPr="00E03F06">
        <w:rPr>
          <w:rFonts w:cs="Arial"/>
        </w:rPr>
        <w:t xml:space="preserve">from primary to secondary to FE.” </w:t>
      </w:r>
      <w:r w:rsidRPr="00E03F06">
        <w:rPr>
          <w:rFonts w:ascii="MS Gothic" w:eastAsia="MS Gothic" w:hAnsi="MS Gothic" w:cs="MS Gothic" w:hint="eastAsia"/>
        </w:rPr>
        <w:t> </w:t>
      </w:r>
      <w:r w:rsidRPr="00E03F06">
        <w:rPr>
          <w:rFonts w:cs="Arial"/>
        </w:rPr>
        <w:t>Blind and Partially Sighted Student</w:t>
      </w:r>
    </w:p>
    <w:p w14:paraId="2C4C6D0D"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“Students should be able to update it when needs change.” </w:t>
      </w:r>
      <w:r w:rsidRPr="00E03F06">
        <w:rPr>
          <w:rFonts w:ascii="MS Gothic" w:eastAsia="MS Gothic" w:hAnsi="MS Gothic" w:cs="MS Gothic" w:hint="eastAsia"/>
        </w:rPr>
        <w:t> </w:t>
      </w:r>
      <w:r w:rsidRPr="00E03F06">
        <w:rPr>
          <w:rFonts w:cs="Arial"/>
        </w:rPr>
        <w:t>Blind and Partially Sighted Student</w:t>
      </w:r>
    </w:p>
    <w:p w14:paraId="0B0048DE"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“You cannot write an individual support plan for a visually impaired child without a QTVI and habilitation input. It just doesn’t make sense.” </w:t>
      </w:r>
      <w:r w:rsidRPr="00E03F06">
        <w:rPr>
          <w:rFonts w:ascii="MS Gothic" w:eastAsia="MS Gothic" w:hAnsi="MS Gothic" w:cs="MS Gothic" w:hint="eastAsia"/>
        </w:rPr>
        <w:t> </w:t>
      </w:r>
      <w:r w:rsidRPr="00E03F06">
        <w:rPr>
          <w:rFonts w:cs="Arial"/>
        </w:rPr>
        <w:t>Parent</w:t>
      </w:r>
    </w:p>
    <w:p w14:paraId="24F82885" w14:textId="77777777" w:rsidR="006C7DA2" w:rsidRPr="00E03F06" w:rsidRDefault="006C7DA2" w:rsidP="00EE75D8">
      <w:pPr>
        <w:pStyle w:val="NormalWeb"/>
        <w:spacing w:line="276" w:lineRule="auto"/>
        <w:rPr>
          <w:rFonts w:ascii="Arial" w:hAnsi="Arial" w:cs="Arial"/>
          <w:color w:val="000000"/>
          <w:sz w:val="28"/>
          <w:szCs w:val="28"/>
        </w:rPr>
      </w:pPr>
      <w:r w:rsidRPr="00E03F06">
        <w:rPr>
          <w:rFonts w:ascii="Arial" w:hAnsi="Arial" w:cs="Arial"/>
          <w:color w:val="000000"/>
          <w:sz w:val="28"/>
          <w:szCs w:val="28"/>
        </w:rPr>
        <w:t>There must be robust accountability measures that strengthen rather than weaken children and young people’s rights, with clear and enforceable legal responsibilities placed on education settings and local authorities.</w:t>
      </w:r>
    </w:p>
    <w:p w14:paraId="5F372ED0" w14:textId="77777777" w:rsidR="006C7DA2" w:rsidRPr="00E03F06" w:rsidRDefault="006C7DA2" w:rsidP="006C7DA2">
      <w:pPr>
        <w:pStyle w:val="Heading2"/>
      </w:pPr>
      <w:r w:rsidRPr="00E03F06">
        <w:t>4. Inclusion Hubs: Potential Benefits, Significant Risks</w:t>
      </w:r>
    </w:p>
    <w:p w14:paraId="630BB9C0" w14:textId="77777777" w:rsidR="006C7DA2" w:rsidRPr="00E03F06" w:rsidRDefault="006C7DA2" w:rsidP="006C7DA2">
      <w:pPr>
        <w:autoSpaceDE w:val="0"/>
        <w:autoSpaceDN w:val="0"/>
        <w:adjustRightInd w:val="0"/>
        <w:spacing w:after="320" w:line="276" w:lineRule="auto"/>
        <w:rPr>
          <w:rFonts w:cs="Arial"/>
        </w:rPr>
      </w:pPr>
      <w:r w:rsidRPr="00E03F06">
        <w:rPr>
          <w:rFonts w:cs="Arial"/>
        </w:rPr>
        <w:t>Young people recognised potential benefits of Inclusion Hubs, including access to quiet spaces and assistive technology. However, both groups raised strong concerns about segregation and loss of mainstream participation, particularly for low</w:t>
      </w:r>
      <w:r w:rsidRPr="00E03F06">
        <w:rPr>
          <w:rFonts w:ascii="Cambria Math" w:hAnsi="Cambria Math" w:cs="Cambria Math"/>
        </w:rPr>
        <w:t>‑</w:t>
      </w:r>
      <w:r w:rsidRPr="00E03F06">
        <w:rPr>
          <w:rFonts w:cs="Arial"/>
        </w:rPr>
        <w:t>incidence needs such as vision impairment.</w:t>
      </w:r>
    </w:p>
    <w:p w14:paraId="1E31A227"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“Silence can be really helpful.” </w:t>
      </w:r>
      <w:r w:rsidRPr="00E03F06">
        <w:rPr>
          <w:rFonts w:ascii="MS Gothic" w:eastAsia="MS Gothic" w:hAnsi="MS Gothic" w:cs="MS Gothic" w:hint="eastAsia"/>
        </w:rPr>
        <w:t> </w:t>
      </w:r>
      <w:r w:rsidRPr="00E03F06">
        <w:rPr>
          <w:rFonts w:cs="Arial"/>
        </w:rPr>
        <w:t>Blind and Partially Sighted Student</w:t>
      </w:r>
    </w:p>
    <w:p w14:paraId="71267826" w14:textId="77777777" w:rsidR="006C7DA2" w:rsidRPr="00E03F06" w:rsidRDefault="006C7DA2" w:rsidP="006C7DA2">
      <w:pPr>
        <w:autoSpaceDE w:val="0"/>
        <w:autoSpaceDN w:val="0"/>
        <w:adjustRightInd w:val="0"/>
        <w:spacing w:after="320" w:line="276" w:lineRule="auto"/>
        <w:rPr>
          <w:rFonts w:cs="Arial"/>
        </w:rPr>
      </w:pPr>
      <w:r w:rsidRPr="00E03F06">
        <w:rPr>
          <w:rFonts w:cs="Arial"/>
        </w:rPr>
        <w:lastRenderedPageBreak/>
        <w:t xml:space="preserve">“It could quickly turn into disabled students being put there ‘for their own good’.” </w:t>
      </w:r>
      <w:r w:rsidRPr="00E03F06">
        <w:rPr>
          <w:rFonts w:ascii="MS Gothic" w:eastAsia="MS Gothic" w:hAnsi="MS Gothic" w:cs="MS Gothic" w:hint="eastAsia"/>
        </w:rPr>
        <w:t> </w:t>
      </w:r>
      <w:r w:rsidRPr="00E03F06">
        <w:rPr>
          <w:rFonts w:cs="Arial"/>
        </w:rPr>
        <w:t>Blind and Partially Sighted Student</w:t>
      </w:r>
    </w:p>
    <w:p w14:paraId="6BDC3CAB" w14:textId="77777777" w:rsidR="006C7DA2" w:rsidRPr="00E03F06" w:rsidRDefault="006C7DA2" w:rsidP="006C7DA2">
      <w:pPr>
        <w:autoSpaceDE w:val="0"/>
        <w:autoSpaceDN w:val="0"/>
        <w:adjustRightInd w:val="0"/>
        <w:spacing w:after="320" w:line="276" w:lineRule="auto"/>
        <w:rPr>
          <w:rFonts w:cs="Arial"/>
        </w:rPr>
      </w:pPr>
      <w:r w:rsidRPr="00E03F06">
        <w:rPr>
          <w:rFonts w:cs="Arial"/>
        </w:rPr>
        <w:t>There is strong parental concern Inclusion Hubs could unintentionally undermine the purpose of mainstream education for blind and partially sighted learners. Parents feared that hubs could become places where their children are routinely placed for convenience rather than need. Collectively, these perspectives emphasise that any additional provision must support social integration and participation, rather than separating children from their peers under the banner of inclusion.</w:t>
      </w:r>
    </w:p>
    <w:p w14:paraId="7B10577D"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“My worry is these hubs will become holding pens.” </w:t>
      </w:r>
      <w:r w:rsidRPr="00E03F06">
        <w:rPr>
          <w:rFonts w:ascii="MS Gothic" w:eastAsia="MS Gothic" w:hAnsi="MS Gothic" w:cs="MS Gothic" w:hint="eastAsia"/>
        </w:rPr>
        <w:t> </w:t>
      </w:r>
      <w:r w:rsidRPr="00E03F06">
        <w:rPr>
          <w:rFonts w:cs="Arial"/>
        </w:rPr>
        <w:t>Parent</w:t>
      </w:r>
    </w:p>
    <w:p w14:paraId="3CF961DA"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“A loud, busy setup would be the worst place on earth for my child.” </w:t>
      </w:r>
      <w:r w:rsidRPr="00E03F06">
        <w:rPr>
          <w:rFonts w:ascii="MS Gothic" w:eastAsia="MS Gothic" w:hAnsi="MS Gothic" w:cs="MS Gothic" w:hint="eastAsia"/>
        </w:rPr>
        <w:t> </w:t>
      </w:r>
      <w:r w:rsidRPr="00E03F06">
        <w:rPr>
          <w:rFonts w:cs="Arial"/>
        </w:rPr>
        <w:t>Parent</w:t>
      </w:r>
    </w:p>
    <w:p w14:paraId="462BC362"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“Surely the whole point of mainstream is social integration.” </w:t>
      </w:r>
      <w:r w:rsidRPr="00E03F06">
        <w:rPr>
          <w:rFonts w:ascii="MS Gothic" w:eastAsia="MS Gothic" w:hAnsi="MS Gothic" w:cs="MS Gothic" w:hint="eastAsia"/>
        </w:rPr>
        <w:t> </w:t>
      </w:r>
      <w:r w:rsidRPr="00E03F06">
        <w:rPr>
          <w:rFonts w:cs="Arial"/>
        </w:rPr>
        <w:t>Parent</w:t>
      </w:r>
    </w:p>
    <w:p w14:paraId="17F3629E"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“We already know what happens when you group VI children together ‘for convenience’. You socially isolate them inside a mainstream school.” </w:t>
      </w:r>
      <w:r w:rsidRPr="00E03F06">
        <w:rPr>
          <w:rFonts w:ascii="MS Gothic" w:eastAsia="MS Gothic" w:hAnsi="MS Gothic" w:cs="MS Gothic" w:hint="eastAsia"/>
        </w:rPr>
        <w:t> </w:t>
      </w:r>
      <w:r w:rsidRPr="00E03F06">
        <w:rPr>
          <w:rFonts w:cs="Arial"/>
        </w:rPr>
        <w:t>Parent</w:t>
      </w:r>
    </w:p>
    <w:p w14:paraId="6F1AFCF8" w14:textId="77777777" w:rsidR="006C7DA2" w:rsidRPr="00E03F06" w:rsidRDefault="006C7DA2" w:rsidP="0000453A">
      <w:pPr>
        <w:pStyle w:val="NormalWeb"/>
        <w:spacing w:line="276" w:lineRule="auto"/>
        <w:rPr>
          <w:rFonts w:ascii="Arial" w:hAnsi="Arial" w:cs="Arial"/>
          <w:color w:val="000000"/>
          <w:sz w:val="28"/>
          <w:szCs w:val="28"/>
        </w:rPr>
      </w:pPr>
      <w:r w:rsidRPr="00E03F06">
        <w:rPr>
          <w:rFonts w:ascii="Arial" w:hAnsi="Arial" w:cs="Arial"/>
          <w:color w:val="000000"/>
          <w:sz w:val="28"/>
          <w:szCs w:val="28"/>
        </w:rPr>
        <w:t>There must be strong safeguards and transparency around funding reform, particularly where funding may be redistributed into mainstream settings, to ensure centrally delivered vision impairment services are protected.</w:t>
      </w:r>
    </w:p>
    <w:p w14:paraId="7967B16C" w14:textId="77777777" w:rsidR="006C7DA2" w:rsidRPr="00E03F06" w:rsidRDefault="006C7DA2" w:rsidP="006C7DA2">
      <w:pPr>
        <w:autoSpaceDE w:val="0"/>
        <w:autoSpaceDN w:val="0"/>
        <w:adjustRightInd w:val="0"/>
        <w:spacing w:line="276" w:lineRule="auto"/>
        <w:rPr>
          <w:rFonts w:cs="Arial"/>
          <w:color w:val="6D6D6D"/>
        </w:rPr>
      </w:pPr>
    </w:p>
    <w:p w14:paraId="1A0E7BB1" w14:textId="77777777" w:rsidR="006C7DA2" w:rsidRPr="00E03F06" w:rsidRDefault="006C7DA2" w:rsidP="006C7DA2">
      <w:pPr>
        <w:pStyle w:val="Heading2"/>
      </w:pPr>
      <w:r w:rsidRPr="00E03F06">
        <w:t>5. Transitions Are High</w:t>
      </w:r>
      <w:r w:rsidRPr="00E03F06">
        <w:rPr>
          <w:rFonts w:ascii="Cambria Math" w:hAnsi="Cambria Math" w:cs="Cambria Math"/>
        </w:rPr>
        <w:t>‑</w:t>
      </w:r>
      <w:r w:rsidRPr="00E03F06">
        <w:t>Risk and Poorly Managed</w:t>
      </w:r>
    </w:p>
    <w:p w14:paraId="38ABE7BA" w14:textId="1549018C" w:rsidR="006C7DA2" w:rsidRPr="00E03F06" w:rsidRDefault="006C7DA2" w:rsidP="006C7DA2">
      <w:pPr>
        <w:autoSpaceDE w:val="0"/>
        <w:autoSpaceDN w:val="0"/>
        <w:adjustRightInd w:val="0"/>
        <w:spacing w:after="320" w:line="276" w:lineRule="auto"/>
        <w:rPr>
          <w:rFonts w:cs="Arial"/>
        </w:rPr>
      </w:pPr>
      <w:r w:rsidRPr="00E03F06">
        <w:rPr>
          <w:rFonts w:cs="Arial"/>
        </w:rPr>
        <w:t xml:space="preserve">Transitions were consistently described as stressful, fragmented and poorly coordinated. Early engagement and information sharing improved outcomes, but these were inconsistently delivered. Parents highlighted </w:t>
      </w:r>
      <w:r w:rsidR="00690611" w:rsidRPr="00E03F06">
        <w:rPr>
          <w:rFonts w:cs="Arial"/>
        </w:rPr>
        <w:t>risks</w:t>
      </w:r>
      <w:r w:rsidRPr="00E03F06">
        <w:rPr>
          <w:rFonts w:cs="Arial"/>
        </w:rPr>
        <w:t xml:space="preserve"> post</w:t>
      </w:r>
      <w:r w:rsidRPr="00E03F06">
        <w:rPr>
          <w:rFonts w:ascii="Cambria Math" w:hAnsi="Cambria Math" w:cs="Cambria Math"/>
        </w:rPr>
        <w:t>‑</w:t>
      </w:r>
      <w:r w:rsidRPr="00E03F06">
        <w:rPr>
          <w:rFonts w:cs="Arial"/>
        </w:rPr>
        <w:t>16, including loss of support and reduced accountability.</w:t>
      </w:r>
    </w:p>
    <w:p w14:paraId="35E5ADC7"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“When I met staff early, it wasn’t a shock in September.” </w:t>
      </w:r>
      <w:r w:rsidRPr="00E03F06">
        <w:rPr>
          <w:rFonts w:ascii="MS Gothic" w:eastAsia="MS Gothic" w:hAnsi="MS Gothic" w:cs="MS Gothic" w:hint="eastAsia"/>
        </w:rPr>
        <w:t> </w:t>
      </w:r>
      <w:r w:rsidRPr="00E03F06">
        <w:rPr>
          <w:rFonts w:cs="Arial"/>
        </w:rPr>
        <w:t>Blind and Partially Sighted Student</w:t>
      </w:r>
    </w:p>
    <w:p w14:paraId="474871A7" w14:textId="77777777" w:rsidR="006C7DA2" w:rsidRPr="00E03F06" w:rsidRDefault="006C7DA2" w:rsidP="006C7DA2">
      <w:pPr>
        <w:autoSpaceDE w:val="0"/>
        <w:autoSpaceDN w:val="0"/>
        <w:adjustRightInd w:val="0"/>
        <w:spacing w:after="320" w:line="276" w:lineRule="auto"/>
        <w:rPr>
          <w:rFonts w:cs="Arial"/>
        </w:rPr>
      </w:pPr>
      <w:r w:rsidRPr="00E03F06">
        <w:rPr>
          <w:rFonts w:cs="Arial"/>
        </w:rPr>
        <w:lastRenderedPageBreak/>
        <w:t xml:space="preserve">“Information is passed like Chinese whispers.” </w:t>
      </w:r>
      <w:r w:rsidRPr="00E03F06">
        <w:rPr>
          <w:rFonts w:ascii="MS Gothic" w:eastAsia="MS Gothic" w:hAnsi="MS Gothic" w:cs="MS Gothic" w:hint="eastAsia"/>
        </w:rPr>
        <w:t> </w:t>
      </w:r>
      <w:r w:rsidRPr="00E03F06">
        <w:rPr>
          <w:rFonts w:cs="Arial"/>
        </w:rPr>
        <w:t>Parent</w:t>
      </w:r>
    </w:p>
    <w:p w14:paraId="413CDCA6"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“If the ISP belongs to the school, how does it transfer?” </w:t>
      </w:r>
      <w:r w:rsidRPr="00E03F06">
        <w:rPr>
          <w:rFonts w:ascii="MS Gothic" w:eastAsia="MS Gothic" w:hAnsi="MS Gothic" w:cs="MS Gothic" w:hint="eastAsia"/>
        </w:rPr>
        <w:t> </w:t>
      </w:r>
      <w:r w:rsidRPr="00E03F06">
        <w:rPr>
          <w:rFonts w:cs="Arial"/>
        </w:rPr>
        <w:t>Parent</w:t>
      </w:r>
    </w:p>
    <w:p w14:paraId="56E9A2FF"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“It feels like they just want our children to stay at home after 18 instead of continuing education.” </w:t>
      </w:r>
      <w:r w:rsidRPr="00E03F06">
        <w:rPr>
          <w:rFonts w:ascii="MS Gothic" w:eastAsia="MS Gothic" w:hAnsi="MS Gothic" w:cs="MS Gothic" w:hint="eastAsia"/>
        </w:rPr>
        <w:t> </w:t>
      </w:r>
      <w:r w:rsidRPr="00E03F06">
        <w:rPr>
          <w:rFonts w:cs="Arial"/>
        </w:rPr>
        <w:t>Parent</w:t>
      </w:r>
    </w:p>
    <w:p w14:paraId="5C1EF08B"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“I’m not allowed to be sick. I’m not allowed to struggle. If I can’t take her to school, there is no safety net.” </w:t>
      </w:r>
      <w:r w:rsidRPr="00E03F06">
        <w:rPr>
          <w:rFonts w:ascii="MS Gothic" w:eastAsia="MS Gothic" w:hAnsi="MS Gothic" w:cs="MS Gothic" w:hint="eastAsia"/>
        </w:rPr>
        <w:t> </w:t>
      </w:r>
      <w:r w:rsidRPr="00E03F06">
        <w:rPr>
          <w:rFonts w:cs="Arial"/>
        </w:rPr>
        <w:t>Parent</w:t>
      </w:r>
    </w:p>
    <w:p w14:paraId="29FEF185" w14:textId="77777777" w:rsidR="006C7DA2" w:rsidRPr="00E03F06" w:rsidRDefault="006C7DA2" w:rsidP="0000453A">
      <w:pPr>
        <w:pStyle w:val="NormalWeb"/>
        <w:spacing w:line="276" w:lineRule="auto"/>
        <w:rPr>
          <w:rFonts w:ascii="Arial" w:hAnsi="Arial" w:cs="Arial"/>
          <w:color w:val="000000"/>
          <w:sz w:val="28"/>
          <w:szCs w:val="28"/>
        </w:rPr>
      </w:pPr>
      <w:r w:rsidRPr="00E03F06">
        <w:rPr>
          <w:rFonts w:ascii="Arial" w:hAnsi="Arial" w:cs="Arial"/>
          <w:color w:val="000000"/>
          <w:sz w:val="28"/>
          <w:szCs w:val="28"/>
        </w:rPr>
        <w:t>There must be clear action to address post-16 inequalities, where evidence shows inconsistent access to QTVIs in Further Education settings.</w:t>
      </w:r>
    </w:p>
    <w:p w14:paraId="348439CF" w14:textId="77777777" w:rsidR="006C7DA2" w:rsidRPr="00E03F06" w:rsidRDefault="006C7DA2" w:rsidP="006C7DA2">
      <w:pPr>
        <w:pStyle w:val="Heading2"/>
      </w:pPr>
      <w:r w:rsidRPr="00E03F06">
        <w:t>6. Specialist Expertise and Choice Must Be Preserved</w:t>
      </w:r>
    </w:p>
    <w:p w14:paraId="4FAA8068" w14:textId="01CAEE2B" w:rsidR="006C7DA2" w:rsidRPr="00E03F06" w:rsidRDefault="006C7DA2" w:rsidP="006C7DA2">
      <w:pPr>
        <w:autoSpaceDE w:val="0"/>
        <w:autoSpaceDN w:val="0"/>
        <w:adjustRightInd w:val="0"/>
        <w:spacing w:after="320" w:line="276" w:lineRule="auto"/>
        <w:rPr>
          <w:rFonts w:cs="Arial"/>
        </w:rPr>
      </w:pPr>
      <w:r w:rsidRPr="00E03F06">
        <w:rPr>
          <w:rFonts w:cs="Arial"/>
        </w:rPr>
        <w:t>Both parents and young people stressed that specialist expertise</w:t>
      </w:r>
      <w:r w:rsidR="0000453A">
        <w:rPr>
          <w:rFonts w:cs="Arial"/>
        </w:rPr>
        <w:t>,</w:t>
      </w:r>
      <w:r w:rsidRPr="00E03F06">
        <w:rPr>
          <w:rFonts w:cs="Arial"/>
        </w:rPr>
        <w:t xml:space="preserve"> particularly QTVIs, habilitation and assistive technology specialists</w:t>
      </w:r>
      <w:r w:rsidR="0000453A">
        <w:rPr>
          <w:rFonts w:cs="Arial"/>
        </w:rPr>
        <w:t>,</w:t>
      </w:r>
      <w:r w:rsidRPr="00E03F06">
        <w:rPr>
          <w:rFonts w:cs="Arial"/>
        </w:rPr>
        <w:t xml:space="preserve"> is essential to successful inclusion. There was widespread concern that reform risks further eroding already stretched sensory services.</w:t>
      </w:r>
    </w:p>
    <w:p w14:paraId="5B0CF730"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“There are fewer QTVIs now than years ago. Inclusion cannot work without them.” </w:t>
      </w:r>
      <w:r w:rsidRPr="00E03F06">
        <w:rPr>
          <w:rFonts w:ascii="MS Gothic" w:eastAsia="MS Gothic" w:hAnsi="MS Gothic" w:cs="MS Gothic" w:hint="eastAsia"/>
        </w:rPr>
        <w:t> </w:t>
      </w:r>
      <w:r w:rsidRPr="00E03F06">
        <w:rPr>
          <w:rFonts w:cs="Arial"/>
        </w:rPr>
        <w:t>Parent</w:t>
      </w:r>
    </w:p>
    <w:p w14:paraId="1B73CB60"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“If specialist schools are making TAs redundant, what hope is there for mainstream?” </w:t>
      </w:r>
      <w:r w:rsidRPr="00E03F06">
        <w:rPr>
          <w:rFonts w:ascii="MS Gothic" w:eastAsia="MS Gothic" w:hAnsi="MS Gothic" w:cs="MS Gothic" w:hint="eastAsia"/>
        </w:rPr>
        <w:t> </w:t>
      </w:r>
      <w:r w:rsidRPr="00E03F06">
        <w:rPr>
          <w:rFonts w:cs="Arial"/>
        </w:rPr>
        <w:t>Parent</w:t>
      </w:r>
    </w:p>
    <w:p w14:paraId="444DDAAC" w14:textId="77777777" w:rsidR="006C7DA2" w:rsidRDefault="006C7DA2" w:rsidP="006C7DA2">
      <w:pPr>
        <w:autoSpaceDE w:val="0"/>
        <w:autoSpaceDN w:val="0"/>
        <w:adjustRightInd w:val="0"/>
        <w:spacing w:after="320" w:line="276" w:lineRule="auto"/>
        <w:rPr>
          <w:rFonts w:cs="Arial"/>
        </w:rPr>
      </w:pPr>
      <w:r w:rsidRPr="00E03F06">
        <w:rPr>
          <w:rFonts w:cs="Arial"/>
        </w:rPr>
        <w:t xml:space="preserve">“It’s a lottery. The outcome depends entirely on which local authority you live in.” </w:t>
      </w:r>
      <w:r w:rsidRPr="00E03F06">
        <w:rPr>
          <w:rFonts w:ascii="MS Gothic" w:eastAsia="MS Gothic" w:hAnsi="MS Gothic" w:cs="MS Gothic" w:hint="eastAsia"/>
        </w:rPr>
        <w:t> </w:t>
      </w:r>
      <w:r w:rsidRPr="00E03F06">
        <w:rPr>
          <w:rFonts w:cs="Arial"/>
        </w:rPr>
        <w:t>Parent</w:t>
      </w:r>
    </w:p>
    <w:p w14:paraId="79CAC62F" w14:textId="77777777" w:rsidR="006C7DA2" w:rsidRPr="00F767A7" w:rsidRDefault="006C7DA2" w:rsidP="006C7DA2">
      <w:pPr>
        <w:autoSpaceDE w:val="0"/>
        <w:autoSpaceDN w:val="0"/>
        <w:adjustRightInd w:val="0"/>
        <w:spacing w:after="320" w:line="276" w:lineRule="auto"/>
        <w:rPr>
          <w:rFonts w:cs="Arial"/>
        </w:rPr>
      </w:pPr>
      <w:r>
        <w:rPr>
          <w:rFonts w:cs="Arial"/>
        </w:rPr>
        <w:t>W</w:t>
      </w:r>
      <w:r w:rsidRPr="00F767A7">
        <w:rPr>
          <w:rFonts w:cs="Arial"/>
        </w:rPr>
        <w:t>ithout explicit recognition of vision impairment and the role of QTVIs, SEND reform risks overlooking blind and partially sighted students. They stress that specialist input cannot be replaced by generic support and warn that policy frameworks which prioritise more commonly referenced professions risk allowing low</w:t>
      </w:r>
      <w:r w:rsidRPr="00F767A7">
        <w:rPr>
          <w:rFonts w:ascii="Cambria Math" w:hAnsi="Cambria Math" w:cs="Cambria Math"/>
        </w:rPr>
        <w:t>‑</w:t>
      </w:r>
      <w:r w:rsidRPr="00F767A7">
        <w:rPr>
          <w:rFonts w:cs="Arial"/>
        </w:rPr>
        <w:t>incidence needs to be forgotten.</w:t>
      </w:r>
    </w:p>
    <w:p w14:paraId="7321E0C6" w14:textId="77777777" w:rsidR="006C7DA2" w:rsidRPr="00E03F06" w:rsidRDefault="006C7DA2" w:rsidP="006C7DA2">
      <w:pPr>
        <w:autoSpaceDE w:val="0"/>
        <w:autoSpaceDN w:val="0"/>
        <w:adjustRightInd w:val="0"/>
        <w:spacing w:after="320" w:line="276" w:lineRule="auto"/>
        <w:rPr>
          <w:rFonts w:cs="Arial"/>
        </w:rPr>
      </w:pPr>
      <w:r w:rsidRPr="00E03F06">
        <w:rPr>
          <w:rFonts w:cs="Arial"/>
        </w:rPr>
        <w:lastRenderedPageBreak/>
        <w:t xml:space="preserve">“For visually impaired students, it should definitely include QTVIs… otherwise it’s easy to assume one support fits everyone.” </w:t>
      </w:r>
      <w:r w:rsidRPr="00E03F06">
        <w:rPr>
          <w:rFonts w:ascii="MS Gothic" w:eastAsia="MS Gothic" w:hAnsi="MS Gothic" w:cs="MS Gothic" w:hint="eastAsia"/>
        </w:rPr>
        <w:t> </w:t>
      </w:r>
      <w:r w:rsidRPr="00E03F06">
        <w:rPr>
          <w:rFonts w:cs="Arial"/>
        </w:rPr>
        <w:t>Blind and Partially Sighted Student</w:t>
      </w:r>
    </w:p>
    <w:p w14:paraId="75B8F4C0"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“It’s risky that visually impaired students can be forgotten.” </w:t>
      </w:r>
      <w:r w:rsidRPr="00E03F06">
        <w:rPr>
          <w:rFonts w:ascii="MS Gothic" w:eastAsia="MS Gothic" w:hAnsi="MS Gothic" w:cs="MS Gothic" w:hint="eastAsia"/>
        </w:rPr>
        <w:t> </w:t>
      </w:r>
      <w:r w:rsidRPr="00E03F06">
        <w:rPr>
          <w:rFonts w:cs="Arial"/>
        </w:rPr>
        <w:t>Blind and Partially Sighted Student</w:t>
      </w:r>
    </w:p>
    <w:p w14:paraId="53926E72" w14:textId="77777777" w:rsidR="006C7DA2" w:rsidRPr="00E03F06" w:rsidRDefault="006C7DA2" w:rsidP="00632EC7">
      <w:pPr>
        <w:autoSpaceDE w:val="0"/>
        <w:autoSpaceDN w:val="0"/>
        <w:adjustRightInd w:val="0"/>
        <w:spacing w:after="320" w:line="276" w:lineRule="auto"/>
        <w:rPr>
          <w:rFonts w:cs="Arial"/>
        </w:rPr>
      </w:pPr>
      <w:r w:rsidRPr="00E03F06">
        <w:rPr>
          <w:rFonts w:cs="Arial"/>
        </w:rPr>
        <w:t xml:space="preserve">“The white paper mainly mentions speech therapists and educational psychologists.” </w:t>
      </w:r>
      <w:r w:rsidRPr="00E03F06">
        <w:rPr>
          <w:rFonts w:ascii="MS Gothic" w:eastAsia="MS Gothic" w:hAnsi="MS Gothic" w:cs="MS Gothic" w:hint="eastAsia"/>
        </w:rPr>
        <w:t> </w:t>
      </w:r>
      <w:r w:rsidRPr="00E03F06">
        <w:rPr>
          <w:rFonts w:cs="Arial"/>
        </w:rPr>
        <w:t>Blind and Partially Sighted Student</w:t>
      </w:r>
    </w:p>
    <w:p w14:paraId="33A3FFA1" w14:textId="77777777" w:rsidR="006C7DA2" w:rsidRPr="00594990" w:rsidRDefault="006C7DA2" w:rsidP="00632EC7">
      <w:pPr>
        <w:pStyle w:val="NormalWeb"/>
        <w:spacing w:line="276" w:lineRule="auto"/>
        <w:rPr>
          <w:rFonts w:ascii="Arial" w:hAnsi="Arial" w:cs="Arial"/>
          <w:color w:val="000000"/>
          <w:sz w:val="28"/>
          <w:szCs w:val="28"/>
        </w:rPr>
      </w:pPr>
      <w:r w:rsidRPr="00E03F06">
        <w:rPr>
          <w:rFonts w:ascii="Arial" w:hAnsi="Arial" w:cs="Arial"/>
          <w:color w:val="000000"/>
          <w:sz w:val="28"/>
          <w:szCs w:val="28"/>
        </w:rPr>
        <w:t>There must be a funded workforce strategy to recruit, train, and retain QTVIs and habilitation officers, with clarity on how “Experts at Hand” proposals will strengthen sensory services while maintaining direct specialist delivery.</w:t>
      </w:r>
    </w:p>
    <w:p w14:paraId="359292C3" w14:textId="77777777" w:rsidR="006C7DA2" w:rsidRPr="00D15EAC" w:rsidRDefault="006C7DA2" w:rsidP="006C7DA2">
      <w:pPr>
        <w:pStyle w:val="Heading2"/>
      </w:pPr>
      <w:r w:rsidRPr="00D15EAC">
        <w:t>Conclusion</w:t>
      </w:r>
    </w:p>
    <w:p w14:paraId="5315236C"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“Please listen. We’re all here telling you what we need.” </w:t>
      </w:r>
      <w:r w:rsidRPr="00E03F06">
        <w:rPr>
          <w:rFonts w:ascii="MS Gothic" w:eastAsia="MS Gothic" w:hAnsi="MS Gothic" w:cs="MS Gothic" w:hint="eastAsia"/>
        </w:rPr>
        <w:t> </w:t>
      </w:r>
      <w:r w:rsidRPr="00E03F06">
        <w:rPr>
          <w:rFonts w:cs="Arial"/>
        </w:rPr>
        <w:t>Blind and Partially Sighted Student</w:t>
      </w:r>
    </w:p>
    <w:p w14:paraId="6CFCC53E"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“Losing legal protections would be a punishment on disabled young people.” </w:t>
      </w:r>
      <w:r w:rsidRPr="00E03F06">
        <w:rPr>
          <w:rFonts w:ascii="MS Gothic" w:eastAsia="MS Gothic" w:hAnsi="MS Gothic" w:cs="MS Gothic" w:hint="eastAsia"/>
        </w:rPr>
        <w:t> </w:t>
      </w:r>
      <w:r w:rsidRPr="00E03F06">
        <w:rPr>
          <w:rFonts w:cs="Arial"/>
        </w:rPr>
        <w:t>Blind and Partially Sighted Student</w:t>
      </w:r>
    </w:p>
    <w:p w14:paraId="3827C1A7" w14:textId="77777777" w:rsidR="006C7DA2" w:rsidRPr="00E03F06" w:rsidRDefault="006C7DA2" w:rsidP="006C7DA2">
      <w:pPr>
        <w:autoSpaceDE w:val="0"/>
        <w:autoSpaceDN w:val="0"/>
        <w:adjustRightInd w:val="0"/>
        <w:spacing w:after="320" w:line="276" w:lineRule="auto"/>
        <w:rPr>
          <w:rFonts w:cs="Arial"/>
        </w:rPr>
      </w:pPr>
      <w:r w:rsidRPr="00E03F06">
        <w:rPr>
          <w:rFonts w:cs="Arial"/>
        </w:rPr>
        <w:t xml:space="preserve">“What good is a white paper if there’s no money, no staff, and no enforcement?” </w:t>
      </w:r>
      <w:r w:rsidRPr="00E03F06">
        <w:rPr>
          <w:rFonts w:ascii="MS Gothic" w:eastAsia="MS Gothic" w:hAnsi="MS Gothic" w:cs="MS Gothic" w:hint="eastAsia"/>
        </w:rPr>
        <w:t> </w:t>
      </w:r>
      <w:r w:rsidRPr="00E03F06">
        <w:rPr>
          <w:rFonts w:cs="Arial"/>
        </w:rPr>
        <w:t>Parent</w:t>
      </w:r>
    </w:p>
    <w:p w14:paraId="683CED52" w14:textId="26F7C48E" w:rsidR="006C7DA2" w:rsidRPr="00E03F06" w:rsidRDefault="006C7DA2" w:rsidP="006C7DA2">
      <w:pPr>
        <w:autoSpaceDE w:val="0"/>
        <w:autoSpaceDN w:val="0"/>
        <w:adjustRightInd w:val="0"/>
        <w:spacing w:after="320" w:line="276" w:lineRule="auto"/>
        <w:rPr>
          <w:rFonts w:cs="Arial"/>
        </w:rPr>
      </w:pPr>
      <w:r w:rsidRPr="00E03F06">
        <w:rPr>
          <w:rFonts w:cs="Arial"/>
        </w:rPr>
        <w:t>SEND reform offers an opportunity to improve inclusion and consistency, but only if it strengthens</w:t>
      </w:r>
      <w:r w:rsidR="00632EC7">
        <w:rPr>
          <w:rFonts w:cs="Arial"/>
        </w:rPr>
        <w:t>,</w:t>
      </w:r>
      <w:r w:rsidRPr="00E03F06">
        <w:rPr>
          <w:rFonts w:cs="Arial"/>
        </w:rPr>
        <w:t xml:space="preserve"> rather than weakens</w:t>
      </w:r>
      <w:r w:rsidR="00632EC7">
        <w:rPr>
          <w:rFonts w:cs="Arial"/>
        </w:rPr>
        <w:t>,</w:t>
      </w:r>
      <w:r w:rsidRPr="00E03F06">
        <w:rPr>
          <w:rFonts w:cs="Arial"/>
        </w:rPr>
        <w:t xml:space="preserve"> rights, accountability and specialist support.</w:t>
      </w:r>
    </w:p>
    <w:p w14:paraId="046951D6" w14:textId="43BDC3A9" w:rsidR="006C7DA2" w:rsidRPr="00E03F06" w:rsidRDefault="006C7DA2" w:rsidP="00632EC7">
      <w:pPr>
        <w:autoSpaceDE w:val="0"/>
        <w:autoSpaceDN w:val="0"/>
        <w:adjustRightInd w:val="0"/>
        <w:spacing w:after="320" w:line="276" w:lineRule="auto"/>
        <w:rPr>
          <w:rFonts w:cs="Arial"/>
        </w:rPr>
      </w:pPr>
      <w:r w:rsidRPr="00E03F06">
        <w:rPr>
          <w:rFonts w:cs="Arial"/>
        </w:rPr>
        <w:t>Therefore</w:t>
      </w:r>
      <w:r w:rsidR="00632EC7">
        <w:rPr>
          <w:rFonts w:cs="Arial"/>
        </w:rPr>
        <w:t>,</w:t>
      </w:r>
      <w:r w:rsidRPr="00E03F06">
        <w:rPr>
          <w:rFonts w:cs="Arial"/>
        </w:rPr>
        <w:t xml:space="preserve"> we recommend:</w:t>
      </w:r>
    </w:p>
    <w:p w14:paraId="5775398F"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t>Explicit inclusion of Vision Impairment across the SEND system, including within layers of support and National Inclusion Standards, with the Curriculum Framework for Children and Young People with Vision Impairment (CFVI) embedded in national policy and practice.</w:t>
      </w:r>
    </w:p>
    <w:p w14:paraId="472E1357"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lastRenderedPageBreak/>
        <w:t>Guaranteed access to specialist vision impairment support from ages 0–25, ensuring all blind and partially sighted children and young people receive support from Qualified Teachers for Children and Young People with a Vision Impairment (QTVIs) and habilitation specialists from diagnosis, without depending on an Education, Health and Care Plan (EHCP) or placement type.</w:t>
      </w:r>
    </w:p>
    <w:p w14:paraId="4DA8DC21"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t>A funded workforce strategy to recruit, train, and retain QTVIs and habilitation officers, with clarity on how “Experts at Hand” proposals will strengthen sensory services while maintaining direct specialist delivery.</w:t>
      </w:r>
    </w:p>
    <w:p w14:paraId="6211AA90"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t>Strong safeguards and transparency around funding reform, particularly where funding may be redistributed into mainstream settings, to ensure centrally delivered vision impairment services are protected.</w:t>
      </w:r>
    </w:p>
    <w:p w14:paraId="5AC94894"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t>A clear definition of “complex needs” so that vision impairment access requirements are not incorrectly treated as complexity or used as grounds to delay support.</w:t>
      </w:r>
    </w:p>
    <w:p w14:paraId="76F22FAD"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t>Action to address post-16 inequalities, where evidence shows inconsistent access to QTVIs in Further Education settings.</w:t>
      </w:r>
    </w:p>
    <w:p w14:paraId="441BFEDA" w14:textId="77777777" w:rsidR="006C7DA2" w:rsidRPr="00E03F06" w:rsidRDefault="006C7DA2" w:rsidP="00632EC7">
      <w:pPr>
        <w:pStyle w:val="NormalWeb"/>
        <w:numPr>
          <w:ilvl w:val="0"/>
          <w:numId w:val="35"/>
        </w:numPr>
        <w:spacing w:line="276" w:lineRule="auto"/>
        <w:rPr>
          <w:rFonts w:ascii="Arial" w:hAnsi="Arial" w:cs="Arial"/>
          <w:color w:val="000000"/>
          <w:sz w:val="28"/>
          <w:szCs w:val="28"/>
        </w:rPr>
      </w:pPr>
      <w:r w:rsidRPr="00E03F06">
        <w:rPr>
          <w:rFonts w:ascii="Arial" w:hAnsi="Arial" w:cs="Arial"/>
          <w:color w:val="000000"/>
          <w:sz w:val="28"/>
          <w:szCs w:val="28"/>
        </w:rPr>
        <w:t>Robust accountability measures that strengthen rather than weaken children and young people’s rights, with clear and enforceable legal responsibilities placed on education settings and local authorities.</w:t>
      </w:r>
    </w:p>
    <w:p w14:paraId="010CC68B" w14:textId="77777777" w:rsidR="006C7DA2" w:rsidRPr="00E03F06" w:rsidRDefault="006C7DA2" w:rsidP="006C7DA2">
      <w:pPr>
        <w:pStyle w:val="Heading2"/>
      </w:pPr>
      <w:r w:rsidRPr="00E03F06">
        <w:t>About Us</w:t>
      </w:r>
    </w:p>
    <w:p w14:paraId="5B56DF14" w14:textId="77777777" w:rsidR="002F6424" w:rsidRPr="002F6424" w:rsidRDefault="002F6424" w:rsidP="00632EC7">
      <w:pPr>
        <w:pStyle w:val="NormalWeb"/>
        <w:spacing w:line="276" w:lineRule="auto"/>
        <w:rPr>
          <w:rFonts w:ascii="Arial" w:hAnsi="Arial" w:cs="Arial"/>
          <w:color w:val="303030"/>
          <w:sz w:val="28"/>
          <w:szCs w:val="28"/>
        </w:rPr>
      </w:pPr>
      <w:r w:rsidRPr="002F6424">
        <w:rPr>
          <w:rFonts w:ascii="Arial" w:hAnsi="Arial" w:cs="Arial"/>
          <w:color w:val="303030"/>
          <w:sz w:val="28"/>
          <w:szCs w:val="28"/>
        </w:rPr>
        <w:t>Thomas Pocklington Trust strives for equality of blind and partially sighted people in every aspect of society. We are a charitable organisation with a dedicated staff – over half of us are blind or partially sighted – and over 200 volunteers who have lived experience of sight loss. Our mission is to support blind and partially sighted people to bring about equity and inclusion in every aspect of society.</w:t>
      </w:r>
    </w:p>
    <w:p w14:paraId="1C575648" w14:textId="77777777" w:rsidR="002F6424" w:rsidRPr="002F6424" w:rsidRDefault="002F6424" w:rsidP="00632EC7">
      <w:pPr>
        <w:pStyle w:val="NormalWeb"/>
        <w:spacing w:line="276" w:lineRule="auto"/>
        <w:rPr>
          <w:rFonts w:ascii="Arial" w:hAnsi="Arial" w:cs="Arial"/>
          <w:color w:val="303030"/>
          <w:sz w:val="28"/>
          <w:szCs w:val="28"/>
        </w:rPr>
      </w:pPr>
      <w:r w:rsidRPr="002F6424">
        <w:rPr>
          <w:rFonts w:ascii="Arial" w:hAnsi="Arial" w:cs="Arial"/>
          <w:color w:val="303030"/>
          <w:sz w:val="28"/>
          <w:szCs w:val="28"/>
        </w:rPr>
        <w:t xml:space="preserve">Our mission is to support blind and partially sighted people to bring about equity and inclusion in society and their own lives. We achieve this by focusing on significant life milestones of blind and partially sighted people, including ensuring that we are able to thrive in education, </w:t>
      </w:r>
      <w:r w:rsidRPr="002F6424">
        <w:rPr>
          <w:rFonts w:ascii="Arial" w:hAnsi="Arial" w:cs="Arial"/>
          <w:color w:val="303030"/>
          <w:sz w:val="28"/>
          <w:szCs w:val="28"/>
        </w:rPr>
        <w:lastRenderedPageBreak/>
        <w:t>fostering positive employment opportunities and promoting overall health and wellbeing, with timely health interventions when needed.</w:t>
      </w:r>
    </w:p>
    <w:p w14:paraId="5D95B6E9" w14:textId="77777777" w:rsidR="002F6424" w:rsidRPr="002F6424" w:rsidRDefault="002F6424" w:rsidP="00632EC7">
      <w:pPr>
        <w:pStyle w:val="NormalWeb"/>
        <w:spacing w:line="276" w:lineRule="auto"/>
        <w:rPr>
          <w:rFonts w:ascii="Arial" w:hAnsi="Arial" w:cs="Arial"/>
          <w:color w:val="303030"/>
          <w:sz w:val="28"/>
          <w:szCs w:val="28"/>
        </w:rPr>
      </w:pPr>
      <w:r w:rsidRPr="002F6424">
        <w:rPr>
          <w:rFonts w:ascii="Arial" w:hAnsi="Arial" w:cs="Arial"/>
          <w:color w:val="303030"/>
          <w:sz w:val="28"/>
          <w:szCs w:val="28"/>
        </w:rPr>
        <w:t>In addition to addressing equality in life opportunities, our strategy is designed to support blind and partially sighted people at every stage of their journey through the education system, further training or employment and their chosen careers.</w:t>
      </w:r>
    </w:p>
    <w:p w14:paraId="622971B3" w14:textId="77777777" w:rsidR="006C7DA2" w:rsidRPr="00E03F06" w:rsidRDefault="006C7DA2" w:rsidP="006C7DA2">
      <w:pPr>
        <w:autoSpaceDE w:val="0"/>
        <w:autoSpaceDN w:val="0"/>
        <w:adjustRightInd w:val="0"/>
        <w:spacing w:after="320" w:line="276" w:lineRule="auto"/>
        <w:rPr>
          <w:rFonts w:cs="Arial"/>
        </w:rPr>
      </w:pPr>
    </w:p>
    <w:p w14:paraId="50BCF203" w14:textId="77777777" w:rsidR="003B12EC" w:rsidRPr="0076230B" w:rsidRDefault="003B12EC" w:rsidP="0076230B"/>
    <w:sectPr w:rsidR="003B12EC" w:rsidRPr="0076230B" w:rsidSect="003B12EC">
      <w:footerReference w:type="even" r:id="rId12"/>
      <w:footerReference w:type="default" r:id="rId13"/>
      <w:headerReference w:type="first" r:id="rId14"/>
      <w:footerReference w:type="first" r:id="rId15"/>
      <w:pgSz w:w="11906" w:h="16838"/>
      <w:pgMar w:top="1440" w:right="1440" w:bottom="1440" w:left="1440" w:header="709"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BEF9" w14:textId="77777777" w:rsidR="00A64324" w:rsidRDefault="00A64324" w:rsidP="003822A4">
      <w:pPr>
        <w:spacing w:line="240" w:lineRule="auto"/>
      </w:pPr>
      <w:r>
        <w:separator/>
      </w:r>
    </w:p>
  </w:endnote>
  <w:endnote w:type="continuationSeparator" w:id="0">
    <w:p w14:paraId="32F51D77" w14:textId="77777777" w:rsidR="00A64324" w:rsidRDefault="00A64324" w:rsidP="003822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432894"/>
      <w:docPartObj>
        <w:docPartGallery w:val="Page Numbers (Bottom of Page)"/>
        <w:docPartUnique/>
      </w:docPartObj>
    </w:sdtPr>
    <w:sdtEndPr>
      <w:rPr>
        <w:noProof/>
      </w:rPr>
    </w:sdtEndPr>
    <w:sdtContent>
      <w:p w14:paraId="72C9C464" w14:textId="77777777" w:rsidR="00EF1813" w:rsidRDefault="00EF1813">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773564"/>
      <w:docPartObj>
        <w:docPartGallery w:val="Page Numbers (Bottom of Page)"/>
        <w:docPartUnique/>
      </w:docPartObj>
    </w:sdtPr>
    <w:sdtEndPr>
      <w:rPr>
        <w:noProof/>
      </w:rPr>
    </w:sdtEndPr>
    <w:sdtContent>
      <w:p w14:paraId="6DE9A21E" w14:textId="77777777" w:rsidR="00EF1813" w:rsidRDefault="00EF1813" w:rsidP="00E44C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857467"/>
      <w:docPartObj>
        <w:docPartGallery w:val="Page Numbers (Bottom of Page)"/>
        <w:docPartUnique/>
      </w:docPartObj>
    </w:sdtPr>
    <w:sdtEndPr>
      <w:rPr>
        <w:noProof/>
      </w:rPr>
    </w:sdtEndPr>
    <w:sdtContent>
      <w:p w14:paraId="4F7C8550" w14:textId="77777777" w:rsidR="00EF1813" w:rsidRDefault="00EF1813" w:rsidP="003B12EC">
        <w:pPr>
          <w:pStyle w:val="Footer"/>
          <w:tabs>
            <w:tab w:val="clear" w:pos="9026"/>
          </w:tabs>
          <w:ind w:right="-613"/>
          <w:jc w:val="right"/>
        </w:pPr>
        <w:r>
          <w:t>Clear print 14pt. Alternative format available upon request.</w:t>
        </w:r>
      </w:p>
    </w:sdtContent>
  </w:sdt>
  <w:p w14:paraId="77132A25" w14:textId="77777777" w:rsidR="00EF1813" w:rsidRDefault="00EF1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07F33" w14:textId="77777777" w:rsidR="00A64324" w:rsidRDefault="00A64324" w:rsidP="003822A4">
      <w:pPr>
        <w:spacing w:line="240" w:lineRule="auto"/>
      </w:pPr>
      <w:r>
        <w:separator/>
      </w:r>
    </w:p>
  </w:footnote>
  <w:footnote w:type="continuationSeparator" w:id="0">
    <w:p w14:paraId="6FC71A1A" w14:textId="77777777" w:rsidR="00A64324" w:rsidRDefault="00A64324" w:rsidP="003822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959EC" w14:textId="5C554706" w:rsidR="00EF1813" w:rsidRDefault="00532776" w:rsidP="003B12EC">
    <w:pPr>
      <w:pStyle w:val="Header"/>
      <w:tabs>
        <w:tab w:val="clear" w:pos="9026"/>
        <w:tab w:val="right" w:pos="8364"/>
      </w:tabs>
      <w:ind w:right="-755"/>
      <w:jc w:val="right"/>
    </w:pPr>
    <w:r>
      <w:rPr>
        <w:noProof/>
      </w:rPr>
      <w:drawing>
        <wp:inline distT="0" distB="0" distL="0" distR="0" wp14:anchorId="7321F5D8" wp14:editId="0C14D95E">
          <wp:extent cx="1562100" cy="914400"/>
          <wp:effectExtent l="0" t="0" r="0" b="0"/>
          <wp:docPr id="364604814" name="Picture 2" descr="Thomas Pocklington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omas Pocklington Tru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914400"/>
                  </a:xfrm>
                  <a:prstGeom prst="rect">
                    <a:avLst/>
                  </a:prstGeom>
                  <a:noFill/>
                  <a:ln>
                    <a:noFill/>
                  </a:ln>
                </pic:spPr>
              </pic:pic>
            </a:graphicData>
          </a:graphic>
        </wp:inline>
      </w:drawing>
    </w:r>
    <w:r w:rsidR="000810BF">
      <w:rPr>
        <w:noProof/>
      </w:rPr>
      <w:drawing>
        <wp:inline distT="0" distB="0" distL="0" distR="0" wp14:anchorId="37733A60" wp14:editId="477E88DC">
          <wp:extent cx="1756737" cy="996315"/>
          <wp:effectExtent l="0" t="0" r="0" b="0"/>
          <wp:docPr id="1611547038" name="Picture 3" descr="Thomas Pocklingt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omas Pocklington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4360" cy="1006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82B0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032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2EBB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1030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CC0B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88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34BE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FE64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2EE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7074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220718"/>
    <w:multiLevelType w:val="multilevel"/>
    <w:tmpl w:val="94D29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E35D6B"/>
    <w:multiLevelType w:val="hybridMultilevel"/>
    <w:tmpl w:val="2C88C9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E2506A"/>
    <w:multiLevelType w:val="hybridMultilevel"/>
    <w:tmpl w:val="D01C78AA"/>
    <w:lvl w:ilvl="0" w:tplc="9BC8F7F4">
      <w:start w:val="1"/>
      <w:numFmt w:val="bullet"/>
      <w:pStyle w:val="Bulletsspaced"/>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0C502A"/>
    <w:multiLevelType w:val="hybridMultilevel"/>
    <w:tmpl w:val="91444F48"/>
    <w:lvl w:ilvl="0" w:tplc="1A2A2F5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51861AC"/>
    <w:multiLevelType w:val="hybridMultilevel"/>
    <w:tmpl w:val="C324B3C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D40B68"/>
    <w:multiLevelType w:val="hybridMultilevel"/>
    <w:tmpl w:val="8C228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732277"/>
    <w:multiLevelType w:val="hybridMultilevel"/>
    <w:tmpl w:val="AEF67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B26793"/>
    <w:multiLevelType w:val="multilevel"/>
    <w:tmpl w:val="08090025"/>
    <w:styleLink w:val="CPHeadings"/>
    <w:lvl w:ilvl="0">
      <w:start w:val="1"/>
      <w:numFmt w:val="decimal"/>
      <w:lvlText w:val="%1"/>
      <w:lvlJc w:val="left"/>
      <w:pPr>
        <w:ind w:left="432" w:hanging="432"/>
      </w:pPr>
      <w:rPr>
        <w:rFonts w:ascii="Arial" w:hAnsi="Arial"/>
        <w:color w:val="auto"/>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2FD82A94"/>
    <w:multiLevelType w:val="hybridMultilevel"/>
    <w:tmpl w:val="3AAE9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FF490F"/>
    <w:multiLevelType w:val="multilevel"/>
    <w:tmpl w:val="1E1C8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013A3D"/>
    <w:multiLevelType w:val="multilevel"/>
    <w:tmpl w:val="E1A2B8E2"/>
    <w:name w:val="CP headings"/>
    <w:lvl w:ilvl="0">
      <w:start w:val="1"/>
      <w:numFmt w:val="none"/>
      <w:suff w:val="nothing"/>
      <w:lvlText w:val=""/>
      <w:lvlJc w:val="left"/>
      <w:pPr>
        <w:ind w:left="0" w:firstLine="0"/>
      </w:pPr>
      <w:rPr>
        <w:rFonts w:ascii="Arial" w:hAnsi="Arial" w:hint="default"/>
        <w:color w:val="auto"/>
        <w:sz w:val="28"/>
      </w:rPr>
    </w:lvl>
    <w:lvl w:ilvl="1">
      <w:start w:val="1"/>
      <w:numFmt w:val="none"/>
      <w:suff w:val="nothing"/>
      <w:lvlText w:val="%1"/>
      <w:lvlJc w:val="left"/>
      <w:pPr>
        <w:ind w:left="0" w:firstLine="0"/>
      </w:pPr>
      <w:rPr>
        <w:rFonts w:hint="default"/>
      </w:rPr>
    </w:lvl>
    <w:lvl w:ilvl="2">
      <w:start w:val="1"/>
      <w:numFmt w:val="decimal"/>
      <w:suff w:val="nothing"/>
      <w:lvlText w:val="%1"/>
      <w:lvlJc w:val="left"/>
      <w:pPr>
        <w:ind w:left="0" w:firstLine="0"/>
      </w:pPr>
      <w:rPr>
        <w:rFonts w:hint="default"/>
      </w:rPr>
    </w:lvl>
    <w:lvl w:ilvl="3">
      <w:start w:val="1"/>
      <w:numFmt w:val="decimal"/>
      <w:pStyle w:val="Heading4"/>
      <w:lvlText w:val="%4%1."/>
      <w:lvlJc w:val="left"/>
      <w:pPr>
        <w:ind w:left="0" w:firstLine="544"/>
      </w:pPr>
      <w:rPr>
        <w:rFonts w:hint="default"/>
      </w:rPr>
    </w:lvl>
    <w:lvl w:ilvl="4">
      <w:start w:val="1"/>
      <w:numFmt w:val="decimal"/>
      <w:pStyle w:val="Heading5"/>
      <w:lvlText w:val="%5%1.%2%3"/>
      <w:lvlJc w:val="left"/>
      <w:pPr>
        <w:ind w:left="0" w:firstLine="720"/>
      </w:pPr>
      <w:rPr>
        <w:rFonts w:hint="default"/>
      </w:rPr>
    </w:lvl>
    <w:lvl w:ilvl="5">
      <w:start w:val="1"/>
      <w:numFmt w:val="decimal"/>
      <w:pStyle w:val="Heading6"/>
      <w:lvlText w:val="%6%1.%3.%4"/>
      <w:lvlJc w:val="left"/>
      <w:pPr>
        <w:ind w:left="0" w:firstLine="1111"/>
      </w:pPr>
      <w:rPr>
        <w:rFonts w:hint="default"/>
      </w:rPr>
    </w:lvl>
    <w:lvl w:ilvl="6">
      <w:start w:val="1"/>
      <w:numFmt w:val="decimal"/>
      <w:pStyle w:val="Heading7"/>
      <w:lvlText w:val="%7%1.%3.%4.%5"/>
      <w:lvlJc w:val="left"/>
      <w:pPr>
        <w:ind w:left="0" w:firstLine="1151"/>
      </w:pPr>
      <w:rPr>
        <w:rFonts w:hint="default"/>
      </w:rPr>
    </w:lvl>
    <w:lvl w:ilvl="7">
      <w:start w:val="1"/>
      <w:numFmt w:val="decimal"/>
      <w:pStyle w:val="Heading8"/>
      <w:lvlText w:val="%8.%3.%4.%5.%6"/>
      <w:lvlJc w:val="left"/>
      <w:pPr>
        <w:ind w:left="0" w:firstLine="1151"/>
      </w:pPr>
      <w:rPr>
        <w:rFonts w:hint="default"/>
      </w:rPr>
    </w:lvl>
    <w:lvl w:ilvl="8">
      <w:start w:val="1"/>
      <w:numFmt w:val="decimal"/>
      <w:pStyle w:val="Heading9"/>
      <w:lvlText w:val="%1%3.%4.%5.%6.%7.%8"/>
      <w:lvlJc w:val="left"/>
      <w:pPr>
        <w:ind w:left="0" w:firstLine="1151"/>
      </w:pPr>
      <w:rPr>
        <w:rFonts w:hint="default"/>
      </w:rPr>
    </w:lvl>
  </w:abstractNum>
  <w:abstractNum w:abstractNumId="21" w15:restartNumberingAfterBreak="0">
    <w:nsid w:val="3BB84E3F"/>
    <w:multiLevelType w:val="hybridMultilevel"/>
    <w:tmpl w:val="9206867C"/>
    <w:lvl w:ilvl="0" w:tplc="BFF8189C">
      <w:start w:val="1"/>
      <w:numFmt w:val="bullet"/>
      <w:lvlText w:val=""/>
      <w:lvlJc w:val="left"/>
      <w:pPr>
        <w:ind w:left="720" w:hanging="360"/>
      </w:pPr>
      <w:rPr>
        <w:rFonts w:ascii="Symbol" w:hAnsi="Symbol"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E642F4"/>
    <w:multiLevelType w:val="hybridMultilevel"/>
    <w:tmpl w:val="BFEE89B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B64A5B"/>
    <w:multiLevelType w:val="hybridMultilevel"/>
    <w:tmpl w:val="78DE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C4384A"/>
    <w:multiLevelType w:val="hybridMultilevel"/>
    <w:tmpl w:val="11903924"/>
    <w:lvl w:ilvl="0" w:tplc="2E68B2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F62594"/>
    <w:multiLevelType w:val="hybridMultilevel"/>
    <w:tmpl w:val="C97AE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849C1"/>
    <w:multiLevelType w:val="hybridMultilevel"/>
    <w:tmpl w:val="5AC81D38"/>
    <w:lvl w:ilvl="0" w:tplc="058064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A828DC"/>
    <w:multiLevelType w:val="hybridMultilevel"/>
    <w:tmpl w:val="504018B8"/>
    <w:lvl w:ilvl="0" w:tplc="4D541C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94728FC"/>
    <w:multiLevelType w:val="hybridMultilevel"/>
    <w:tmpl w:val="54A23F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B160D0"/>
    <w:multiLevelType w:val="hybridMultilevel"/>
    <w:tmpl w:val="9AF6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5C433F"/>
    <w:multiLevelType w:val="multilevel"/>
    <w:tmpl w:val="0620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BD3E12"/>
    <w:multiLevelType w:val="hybridMultilevel"/>
    <w:tmpl w:val="EE4A51B8"/>
    <w:lvl w:ilvl="0" w:tplc="BFF8189C">
      <w:start w:val="1"/>
      <w:numFmt w:val="bullet"/>
      <w:lvlText w:val=""/>
      <w:lvlJc w:val="left"/>
      <w:pPr>
        <w:ind w:left="720" w:hanging="360"/>
      </w:pPr>
      <w:rPr>
        <w:rFonts w:ascii="Symbol" w:hAnsi="Symbol"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112B91"/>
    <w:multiLevelType w:val="hybridMultilevel"/>
    <w:tmpl w:val="72708F88"/>
    <w:lvl w:ilvl="0" w:tplc="04A44DD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1A00F8"/>
    <w:multiLevelType w:val="hybridMultilevel"/>
    <w:tmpl w:val="9D5A249A"/>
    <w:lvl w:ilvl="0" w:tplc="2A1CC4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ECD43CB"/>
    <w:multiLevelType w:val="hybridMultilevel"/>
    <w:tmpl w:val="2C88C9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059039">
    <w:abstractNumId w:val="9"/>
  </w:num>
  <w:num w:numId="2" w16cid:durableId="356125419">
    <w:abstractNumId w:val="7"/>
  </w:num>
  <w:num w:numId="3" w16cid:durableId="1019547867">
    <w:abstractNumId w:val="6"/>
  </w:num>
  <w:num w:numId="4" w16cid:durableId="223028009">
    <w:abstractNumId w:val="5"/>
  </w:num>
  <w:num w:numId="5" w16cid:durableId="1615821521">
    <w:abstractNumId w:val="4"/>
  </w:num>
  <w:num w:numId="6" w16cid:durableId="818616856">
    <w:abstractNumId w:val="8"/>
  </w:num>
  <w:num w:numId="7" w16cid:durableId="1373923786">
    <w:abstractNumId w:val="3"/>
  </w:num>
  <w:num w:numId="8" w16cid:durableId="1457217524">
    <w:abstractNumId w:val="2"/>
  </w:num>
  <w:num w:numId="9" w16cid:durableId="1297489637">
    <w:abstractNumId w:val="1"/>
  </w:num>
  <w:num w:numId="10" w16cid:durableId="711341810">
    <w:abstractNumId w:val="0"/>
  </w:num>
  <w:num w:numId="11" w16cid:durableId="1001814176">
    <w:abstractNumId w:val="20"/>
  </w:num>
  <w:num w:numId="12" w16cid:durableId="202720670">
    <w:abstractNumId w:val="17"/>
  </w:num>
  <w:num w:numId="13" w16cid:durableId="2040278391">
    <w:abstractNumId w:val="24"/>
  </w:num>
  <w:num w:numId="14" w16cid:durableId="1703048931">
    <w:abstractNumId w:val="10"/>
  </w:num>
  <w:num w:numId="15" w16cid:durableId="877670290">
    <w:abstractNumId w:val="13"/>
  </w:num>
  <w:num w:numId="16" w16cid:durableId="758794842">
    <w:abstractNumId w:val="12"/>
  </w:num>
  <w:num w:numId="17" w16cid:durableId="1747530301">
    <w:abstractNumId w:val="26"/>
  </w:num>
  <w:num w:numId="18" w16cid:durableId="1155340035">
    <w:abstractNumId w:val="32"/>
  </w:num>
  <w:num w:numId="19" w16cid:durableId="1730566433">
    <w:abstractNumId w:val="34"/>
  </w:num>
  <w:num w:numId="20" w16cid:durableId="565192403">
    <w:abstractNumId w:val="16"/>
  </w:num>
  <w:num w:numId="21" w16cid:durableId="941958357">
    <w:abstractNumId w:val="25"/>
  </w:num>
  <w:num w:numId="22" w16cid:durableId="890652047">
    <w:abstractNumId w:val="30"/>
  </w:num>
  <w:num w:numId="23" w16cid:durableId="898201376">
    <w:abstractNumId w:val="21"/>
  </w:num>
  <w:num w:numId="24" w16cid:durableId="1580602109">
    <w:abstractNumId w:val="31"/>
  </w:num>
  <w:num w:numId="25" w16cid:durableId="571962547">
    <w:abstractNumId w:val="11"/>
  </w:num>
  <w:num w:numId="26" w16cid:durableId="1293487934">
    <w:abstractNumId w:val="22"/>
  </w:num>
  <w:num w:numId="27" w16cid:durableId="263658404">
    <w:abstractNumId w:val="28"/>
  </w:num>
  <w:num w:numId="28" w16cid:durableId="1374110407">
    <w:abstractNumId w:val="33"/>
  </w:num>
  <w:num w:numId="29" w16cid:durableId="1674458005">
    <w:abstractNumId w:val="27"/>
  </w:num>
  <w:num w:numId="30" w16cid:durableId="2069303130">
    <w:abstractNumId w:val="18"/>
  </w:num>
  <w:num w:numId="31" w16cid:durableId="542718406">
    <w:abstractNumId w:val="15"/>
  </w:num>
  <w:num w:numId="32" w16cid:durableId="196891705">
    <w:abstractNumId w:val="23"/>
  </w:num>
  <w:num w:numId="33" w16cid:durableId="1705328472">
    <w:abstractNumId w:val="14"/>
  </w:num>
  <w:num w:numId="34" w16cid:durableId="649599840">
    <w:abstractNumId w:val="29"/>
  </w:num>
  <w:num w:numId="35" w16cid:durableId="14851267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DF"/>
    <w:rsid w:val="0000453A"/>
    <w:rsid w:val="00032D1D"/>
    <w:rsid w:val="000331DE"/>
    <w:rsid w:val="000810BF"/>
    <w:rsid w:val="00087DB3"/>
    <w:rsid w:val="000D4B05"/>
    <w:rsid w:val="001176A0"/>
    <w:rsid w:val="00180EFF"/>
    <w:rsid w:val="00181FDD"/>
    <w:rsid w:val="00197F1B"/>
    <w:rsid w:val="001C733F"/>
    <w:rsid w:val="001D271E"/>
    <w:rsid w:val="00201B0D"/>
    <w:rsid w:val="00216A10"/>
    <w:rsid w:val="00257D0F"/>
    <w:rsid w:val="00262AC5"/>
    <w:rsid w:val="00276DA2"/>
    <w:rsid w:val="00291D3E"/>
    <w:rsid w:val="00294883"/>
    <w:rsid w:val="002E3CDF"/>
    <w:rsid w:val="002F6424"/>
    <w:rsid w:val="00347A77"/>
    <w:rsid w:val="00381D4A"/>
    <w:rsid w:val="003822A4"/>
    <w:rsid w:val="003B12EC"/>
    <w:rsid w:val="003D76BE"/>
    <w:rsid w:val="003F012A"/>
    <w:rsid w:val="004A7848"/>
    <w:rsid w:val="004D31AE"/>
    <w:rsid w:val="004E299E"/>
    <w:rsid w:val="004F02A2"/>
    <w:rsid w:val="0050474A"/>
    <w:rsid w:val="005078A0"/>
    <w:rsid w:val="00532776"/>
    <w:rsid w:val="00576EBF"/>
    <w:rsid w:val="00585C5B"/>
    <w:rsid w:val="00586DB9"/>
    <w:rsid w:val="005C5259"/>
    <w:rsid w:val="006229E1"/>
    <w:rsid w:val="00632CED"/>
    <w:rsid w:val="00632EC7"/>
    <w:rsid w:val="00647B5E"/>
    <w:rsid w:val="0065369B"/>
    <w:rsid w:val="00657777"/>
    <w:rsid w:val="00670B06"/>
    <w:rsid w:val="00690611"/>
    <w:rsid w:val="006C7DA2"/>
    <w:rsid w:val="0072409F"/>
    <w:rsid w:val="00726E29"/>
    <w:rsid w:val="0074622A"/>
    <w:rsid w:val="00760ACB"/>
    <w:rsid w:val="0076230B"/>
    <w:rsid w:val="0077260E"/>
    <w:rsid w:val="0077642E"/>
    <w:rsid w:val="007C25DA"/>
    <w:rsid w:val="007D034D"/>
    <w:rsid w:val="007E029E"/>
    <w:rsid w:val="007E18AB"/>
    <w:rsid w:val="00804249"/>
    <w:rsid w:val="008561E5"/>
    <w:rsid w:val="008731EA"/>
    <w:rsid w:val="00873284"/>
    <w:rsid w:val="00882BB1"/>
    <w:rsid w:val="008E08D9"/>
    <w:rsid w:val="00903280"/>
    <w:rsid w:val="0091314E"/>
    <w:rsid w:val="00943CF4"/>
    <w:rsid w:val="00991A0E"/>
    <w:rsid w:val="009B3E75"/>
    <w:rsid w:val="009D0D07"/>
    <w:rsid w:val="00A05E0F"/>
    <w:rsid w:val="00A11BEC"/>
    <w:rsid w:val="00A64324"/>
    <w:rsid w:val="00A706DE"/>
    <w:rsid w:val="00A87CA5"/>
    <w:rsid w:val="00AE61FF"/>
    <w:rsid w:val="00AF6283"/>
    <w:rsid w:val="00B0677F"/>
    <w:rsid w:val="00B16AC8"/>
    <w:rsid w:val="00B40FA3"/>
    <w:rsid w:val="00BA615E"/>
    <w:rsid w:val="00BC4D08"/>
    <w:rsid w:val="00BE761E"/>
    <w:rsid w:val="00BE7AEF"/>
    <w:rsid w:val="00C70312"/>
    <w:rsid w:val="00CE17F9"/>
    <w:rsid w:val="00D239D1"/>
    <w:rsid w:val="00D33DCF"/>
    <w:rsid w:val="00D56098"/>
    <w:rsid w:val="00DA7B3A"/>
    <w:rsid w:val="00DB4CE4"/>
    <w:rsid w:val="00DD3129"/>
    <w:rsid w:val="00DD44D1"/>
    <w:rsid w:val="00DE7661"/>
    <w:rsid w:val="00E44C38"/>
    <w:rsid w:val="00E7260C"/>
    <w:rsid w:val="00ED61DD"/>
    <w:rsid w:val="00EE75D8"/>
    <w:rsid w:val="00EE7CC3"/>
    <w:rsid w:val="00EF1813"/>
    <w:rsid w:val="00F002AA"/>
    <w:rsid w:val="00F14592"/>
    <w:rsid w:val="00F359E6"/>
    <w:rsid w:val="00F40DBD"/>
    <w:rsid w:val="00F85699"/>
    <w:rsid w:val="00F906CF"/>
    <w:rsid w:val="00FC746C"/>
    <w:rsid w:val="19934A75"/>
    <w:rsid w:val="2EF059CE"/>
    <w:rsid w:val="2FB810E1"/>
    <w:rsid w:val="45740468"/>
    <w:rsid w:val="48A05AC3"/>
    <w:rsid w:val="522F967C"/>
    <w:rsid w:val="55E0DB99"/>
    <w:rsid w:val="60DC84B2"/>
    <w:rsid w:val="6C0658B6"/>
    <w:rsid w:val="7176B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F2271"/>
  <w15:chartTrackingRefBased/>
  <w15:docId w15:val="{1793963B-3E8C-476E-BFA5-FDCFFE59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CDF"/>
    <w:pPr>
      <w:spacing w:after="0" w:line="360" w:lineRule="auto"/>
    </w:pPr>
  </w:style>
  <w:style w:type="paragraph" w:styleId="Heading1">
    <w:name w:val="heading 1"/>
    <w:basedOn w:val="Normal"/>
    <w:next w:val="Normal"/>
    <w:link w:val="Heading1Char"/>
    <w:uiPriority w:val="9"/>
    <w:qFormat/>
    <w:rsid w:val="00EF1813"/>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EF1813"/>
    <w:pPr>
      <w:keepNext/>
      <w:keepLines/>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76230B"/>
    <w:pPr>
      <w:keepNext/>
      <w:keepLines/>
      <w:outlineLvl w:val="2"/>
    </w:pPr>
    <w:rPr>
      <w:rFonts w:eastAsiaTheme="majorEastAsia" w:cstheme="majorBidi"/>
      <w:b/>
      <w:szCs w:val="24"/>
    </w:rPr>
  </w:style>
  <w:style w:type="paragraph" w:styleId="Heading4">
    <w:name w:val="heading 4"/>
    <w:basedOn w:val="Normal"/>
    <w:next w:val="Normal"/>
    <w:link w:val="Heading4Char"/>
    <w:uiPriority w:val="9"/>
    <w:semiHidden/>
    <w:unhideWhenUsed/>
    <w:rsid w:val="00585C5B"/>
    <w:pPr>
      <w:keepNext/>
      <w:keepLines/>
      <w:numPr>
        <w:ilvl w:val="3"/>
        <w:numId w:val="11"/>
      </w:numPr>
      <w:spacing w:before="4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585C5B"/>
    <w:pPr>
      <w:keepNext/>
      <w:keepLines/>
      <w:numPr>
        <w:ilvl w:val="4"/>
        <w:numId w:val="11"/>
      </w:numPr>
      <w:spacing w:before="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585C5B"/>
    <w:pPr>
      <w:keepNext/>
      <w:keepLines/>
      <w:numPr>
        <w:ilvl w:val="5"/>
        <w:numId w:val="11"/>
      </w:numPr>
      <w:spacing w:before="40"/>
      <w:outlineLvl w:val="5"/>
    </w:pPr>
    <w:rPr>
      <w:rFonts w:eastAsiaTheme="majorEastAsia" w:cstheme="majorBidi"/>
    </w:rPr>
  </w:style>
  <w:style w:type="paragraph" w:styleId="Heading7">
    <w:name w:val="heading 7"/>
    <w:basedOn w:val="Normal"/>
    <w:next w:val="Normal"/>
    <w:link w:val="Heading7Char"/>
    <w:uiPriority w:val="9"/>
    <w:unhideWhenUsed/>
    <w:rsid w:val="00585C5B"/>
    <w:pPr>
      <w:keepNext/>
      <w:keepLines/>
      <w:numPr>
        <w:ilvl w:val="6"/>
        <w:numId w:val="11"/>
      </w:numPr>
      <w:spacing w:before="40"/>
      <w:outlineLvl w:val="6"/>
    </w:pPr>
    <w:rPr>
      <w:rFonts w:eastAsiaTheme="majorEastAsia" w:cstheme="majorBidi"/>
      <w:iCs/>
    </w:rPr>
  </w:style>
  <w:style w:type="paragraph" w:styleId="Heading8">
    <w:name w:val="heading 8"/>
    <w:basedOn w:val="Normal"/>
    <w:next w:val="Normal"/>
    <w:link w:val="Heading8Char"/>
    <w:uiPriority w:val="9"/>
    <w:semiHidden/>
    <w:unhideWhenUsed/>
    <w:rsid w:val="00585C5B"/>
    <w:pPr>
      <w:keepNext/>
      <w:keepLines/>
      <w:numPr>
        <w:ilvl w:val="7"/>
        <w:numId w:val="11"/>
      </w:numPr>
      <w:spacing w:before="40"/>
      <w:outlineLvl w:val="7"/>
    </w:pPr>
    <w:rPr>
      <w:rFonts w:eastAsiaTheme="majorEastAsia" w:cstheme="majorBidi"/>
      <w:szCs w:val="21"/>
    </w:rPr>
  </w:style>
  <w:style w:type="paragraph" w:styleId="Heading9">
    <w:name w:val="heading 9"/>
    <w:basedOn w:val="Normal"/>
    <w:next w:val="Normal"/>
    <w:link w:val="Heading9Char"/>
    <w:uiPriority w:val="9"/>
    <w:semiHidden/>
    <w:unhideWhenUsed/>
    <w:qFormat/>
    <w:rsid w:val="00585C5B"/>
    <w:pPr>
      <w:keepNext/>
      <w:keepLines/>
      <w:numPr>
        <w:ilvl w:val="8"/>
        <w:numId w:val="11"/>
      </w:numPr>
      <w:spacing w:before="40"/>
      <w:outlineLvl w:val="8"/>
    </w:pPr>
    <w:rPr>
      <w:rFonts w:eastAsiaTheme="majorEastAsia"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2A4"/>
    <w:pPr>
      <w:tabs>
        <w:tab w:val="center" w:pos="4513"/>
        <w:tab w:val="right" w:pos="9026"/>
      </w:tabs>
      <w:spacing w:line="240" w:lineRule="auto"/>
    </w:pPr>
  </w:style>
  <w:style w:type="character" w:customStyle="1" w:styleId="HeaderChar">
    <w:name w:val="Header Char"/>
    <w:basedOn w:val="DefaultParagraphFont"/>
    <w:link w:val="Header"/>
    <w:uiPriority w:val="99"/>
    <w:rsid w:val="003822A4"/>
  </w:style>
  <w:style w:type="paragraph" w:styleId="Footer">
    <w:name w:val="footer"/>
    <w:basedOn w:val="Normal"/>
    <w:link w:val="FooterChar"/>
    <w:uiPriority w:val="99"/>
    <w:unhideWhenUsed/>
    <w:rsid w:val="003822A4"/>
    <w:pPr>
      <w:tabs>
        <w:tab w:val="center" w:pos="4513"/>
        <w:tab w:val="right" w:pos="9026"/>
      </w:tabs>
      <w:spacing w:line="240" w:lineRule="auto"/>
    </w:pPr>
  </w:style>
  <w:style w:type="character" w:customStyle="1" w:styleId="FooterChar">
    <w:name w:val="Footer Char"/>
    <w:basedOn w:val="DefaultParagraphFont"/>
    <w:link w:val="Footer"/>
    <w:uiPriority w:val="99"/>
    <w:rsid w:val="003822A4"/>
  </w:style>
  <w:style w:type="character" w:customStyle="1" w:styleId="Heading1Char">
    <w:name w:val="Heading 1 Char"/>
    <w:basedOn w:val="DefaultParagraphFont"/>
    <w:link w:val="Heading1"/>
    <w:uiPriority w:val="9"/>
    <w:rsid w:val="00EF1813"/>
    <w:rPr>
      <w:rFonts w:eastAsiaTheme="majorEastAsia" w:cstheme="majorBidi"/>
      <w:b/>
      <w:sz w:val="36"/>
      <w:szCs w:val="32"/>
    </w:rPr>
  </w:style>
  <w:style w:type="character" w:customStyle="1" w:styleId="Heading2Char">
    <w:name w:val="Heading 2 Char"/>
    <w:basedOn w:val="DefaultParagraphFont"/>
    <w:link w:val="Heading2"/>
    <w:uiPriority w:val="9"/>
    <w:rsid w:val="00EF1813"/>
    <w:rPr>
      <w:rFonts w:eastAsiaTheme="majorEastAsia" w:cstheme="majorBidi"/>
      <w:b/>
      <w:sz w:val="32"/>
      <w:szCs w:val="26"/>
    </w:rPr>
  </w:style>
  <w:style w:type="character" w:styleId="Emphasis">
    <w:name w:val="Emphasis"/>
    <w:basedOn w:val="DefaultParagraphFont"/>
    <w:uiPriority w:val="20"/>
    <w:qFormat/>
    <w:rsid w:val="00F40DBD"/>
    <w:rPr>
      <w:rFonts w:ascii="Arial" w:hAnsi="Arial"/>
      <w:b/>
      <w:i w:val="0"/>
      <w:iCs/>
      <w:sz w:val="28"/>
    </w:rPr>
  </w:style>
  <w:style w:type="paragraph" w:styleId="Quote">
    <w:name w:val="Quote"/>
    <w:basedOn w:val="Normal"/>
    <w:next w:val="Normal"/>
    <w:link w:val="QuoteChar"/>
    <w:uiPriority w:val="29"/>
    <w:qFormat/>
    <w:rsid w:val="00F40DBD"/>
    <w:pPr>
      <w:spacing w:before="120" w:after="120"/>
      <w:ind w:left="862" w:right="862"/>
      <w:jc w:val="center"/>
    </w:pPr>
    <w:rPr>
      <w:iCs/>
    </w:rPr>
  </w:style>
  <w:style w:type="character" w:customStyle="1" w:styleId="QuoteChar">
    <w:name w:val="Quote Char"/>
    <w:basedOn w:val="DefaultParagraphFont"/>
    <w:link w:val="Quote"/>
    <w:uiPriority w:val="29"/>
    <w:rsid w:val="00F40DBD"/>
    <w:rPr>
      <w:iCs/>
    </w:rPr>
  </w:style>
  <w:style w:type="character" w:customStyle="1" w:styleId="Heading3Char">
    <w:name w:val="Heading 3 Char"/>
    <w:basedOn w:val="DefaultParagraphFont"/>
    <w:link w:val="Heading3"/>
    <w:uiPriority w:val="9"/>
    <w:rsid w:val="0076230B"/>
    <w:rPr>
      <w:rFonts w:eastAsiaTheme="majorEastAsia" w:cstheme="majorBidi"/>
      <w:b/>
      <w:szCs w:val="24"/>
    </w:rPr>
  </w:style>
  <w:style w:type="paragraph" w:styleId="ListBullet">
    <w:name w:val="List Bullet"/>
    <w:basedOn w:val="Normal"/>
    <w:uiPriority w:val="99"/>
    <w:unhideWhenUsed/>
    <w:qFormat/>
    <w:rsid w:val="00DB4CE4"/>
    <w:pPr>
      <w:numPr>
        <w:numId w:val="1"/>
      </w:numPr>
      <w:contextualSpacing/>
    </w:pPr>
  </w:style>
  <w:style w:type="character" w:styleId="LineNumber">
    <w:name w:val="line number"/>
    <w:basedOn w:val="DefaultParagraphFont"/>
    <w:uiPriority w:val="99"/>
    <w:unhideWhenUsed/>
    <w:rsid w:val="00DB4CE4"/>
  </w:style>
  <w:style w:type="paragraph" w:styleId="ListNumber">
    <w:name w:val="List Number"/>
    <w:basedOn w:val="Normal"/>
    <w:uiPriority w:val="99"/>
    <w:unhideWhenUsed/>
    <w:qFormat/>
    <w:rsid w:val="00201B0D"/>
    <w:pPr>
      <w:numPr>
        <w:numId w:val="6"/>
      </w:numPr>
      <w:contextualSpacing/>
    </w:pPr>
  </w:style>
  <w:style w:type="character" w:customStyle="1" w:styleId="Heading4Char">
    <w:name w:val="Heading 4 Char"/>
    <w:basedOn w:val="DefaultParagraphFont"/>
    <w:link w:val="Heading4"/>
    <w:uiPriority w:val="9"/>
    <w:semiHidden/>
    <w:rsid w:val="00585C5B"/>
    <w:rPr>
      <w:rFonts w:eastAsiaTheme="majorEastAsia" w:cstheme="majorBidi"/>
      <w:iCs/>
    </w:rPr>
  </w:style>
  <w:style w:type="character" w:customStyle="1" w:styleId="Heading5Char">
    <w:name w:val="Heading 5 Char"/>
    <w:basedOn w:val="DefaultParagraphFont"/>
    <w:link w:val="Heading5"/>
    <w:uiPriority w:val="9"/>
    <w:semiHidden/>
    <w:rsid w:val="00585C5B"/>
    <w:rPr>
      <w:rFonts w:eastAsiaTheme="majorEastAsia" w:cstheme="majorBidi"/>
    </w:rPr>
  </w:style>
  <w:style w:type="character" w:customStyle="1" w:styleId="Heading6Char">
    <w:name w:val="Heading 6 Char"/>
    <w:basedOn w:val="DefaultParagraphFont"/>
    <w:link w:val="Heading6"/>
    <w:uiPriority w:val="9"/>
    <w:semiHidden/>
    <w:rsid w:val="00585C5B"/>
    <w:rPr>
      <w:rFonts w:eastAsiaTheme="majorEastAsia" w:cstheme="majorBidi"/>
    </w:rPr>
  </w:style>
  <w:style w:type="character" w:customStyle="1" w:styleId="Heading7Char">
    <w:name w:val="Heading 7 Char"/>
    <w:basedOn w:val="DefaultParagraphFont"/>
    <w:link w:val="Heading7"/>
    <w:uiPriority w:val="9"/>
    <w:rsid w:val="00585C5B"/>
    <w:rPr>
      <w:rFonts w:eastAsiaTheme="majorEastAsia" w:cstheme="majorBidi"/>
      <w:iCs/>
    </w:rPr>
  </w:style>
  <w:style w:type="character" w:customStyle="1" w:styleId="Heading8Char">
    <w:name w:val="Heading 8 Char"/>
    <w:basedOn w:val="DefaultParagraphFont"/>
    <w:link w:val="Heading8"/>
    <w:uiPriority w:val="9"/>
    <w:semiHidden/>
    <w:rsid w:val="00585C5B"/>
    <w:rPr>
      <w:rFonts w:eastAsiaTheme="majorEastAsia" w:cstheme="majorBidi"/>
      <w:szCs w:val="21"/>
    </w:rPr>
  </w:style>
  <w:style w:type="character" w:customStyle="1" w:styleId="Heading9Char">
    <w:name w:val="Heading 9 Char"/>
    <w:basedOn w:val="DefaultParagraphFont"/>
    <w:link w:val="Heading9"/>
    <w:uiPriority w:val="9"/>
    <w:semiHidden/>
    <w:rsid w:val="00585C5B"/>
    <w:rPr>
      <w:rFonts w:eastAsiaTheme="majorEastAsia" w:cstheme="majorBidi"/>
      <w:i/>
      <w:iCs/>
      <w:szCs w:val="21"/>
    </w:rPr>
  </w:style>
  <w:style w:type="numbering" w:customStyle="1" w:styleId="CPHeadings">
    <w:name w:val="CP Headings"/>
    <w:uiPriority w:val="99"/>
    <w:rsid w:val="007E029E"/>
    <w:pPr>
      <w:numPr>
        <w:numId w:val="12"/>
      </w:numPr>
    </w:pPr>
  </w:style>
  <w:style w:type="paragraph" w:styleId="ListParagraph">
    <w:name w:val="List Paragraph"/>
    <w:basedOn w:val="Normal"/>
    <w:uiPriority w:val="34"/>
    <w:qFormat/>
    <w:rsid w:val="002E3CDF"/>
    <w:pPr>
      <w:ind w:left="720"/>
      <w:contextualSpacing/>
    </w:pPr>
  </w:style>
  <w:style w:type="character" w:styleId="Hyperlink">
    <w:name w:val="Hyperlink"/>
    <w:basedOn w:val="DefaultParagraphFont"/>
    <w:uiPriority w:val="99"/>
    <w:unhideWhenUsed/>
    <w:rsid w:val="002E3CDF"/>
    <w:rPr>
      <w:color w:val="0563C1" w:themeColor="hyperlink"/>
      <w:u w:val="single"/>
    </w:rPr>
  </w:style>
  <w:style w:type="paragraph" w:customStyle="1" w:styleId="Bulletsspaced">
    <w:name w:val="Bullets (spaced)"/>
    <w:basedOn w:val="Normal"/>
    <w:autoRedefine/>
    <w:qFormat/>
    <w:rsid w:val="002E3CDF"/>
    <w:pPr>
      <w:numPr>
        <w:numId w:val="16"/>
      </w:numPr>
      <w:tabs>
        <w:tab w:val="clear" w:pos="1080"/>
        <w:tab w:val="left" w:pos="567"/>
      </w:tabs>
      <w:spacing w:before="120" w:line="240" w:lineRule="auto"/>
      <w:ind w:left="924" w:hanging="357"/>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qFormat/>
    <w:rsid w:val="002E3CDF"/>
    <w:pPr>
      <w:spacing w:after="240"/>
    </w:pPr>
  </w:style>
  <w:style w:type="paragraph" w:customStyle="1" w:styleId="Numberedparagraph">
    <w:name w:val="Numbered paragraph"/>
    <w:basedOn w:val="Normal"/>
    <w:autoRedefine/>
    <w:rsid w:val="002E3CDF"/>
    <w:pPr>
      <w:numPr>
        <w:numId w:val="15"/>
      </w:numPr>
      <w:spacing w:after="240" w:line="240" w:lineRule="auto"/>
      <w:ind w:left="567" w:hanging="567"/>
    </w:pPr>
    <w:rPr>
      <w:rFonts w:ascii="Tahoma" w:eastAsia="Times New Roman" w:hAnsi="Tahoma" w:cs="Times New Roman"/>
      <w:color w:val="000000"/>
      <w:sz w:val="24"/>
      <w:szCs w:val="24"/>
    </w:rPr>
  </w:style>
  <w:style w:type="character" w:customStyle="1" w:styleId="normaltextrun">
    <w:name w:val="normaltextrun"/>
    <w:basedOn w:val="DefaultParagraphFont"/>
    <w:rsid w:val="008E08D9"/>
  </w:style>
  <w:style w:type="paragraph" w:styleId="NormalWeb">
    <w:name w:val="Normal (Web)"/>
    <w:basedOn w:val="Normal"/>
    <w:uiPriority w:val="99"/>
    <w:unhideWhenUsed/>
    <w:rsid w:val="009D0D0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95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cklington.org.uk/education/education-policy/send-reforms/"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a.chattaway\OneDrive%20-%20Thomas%20Pocklington%20Trust\Documents\Custom%20Office%20Templates\Word%20Doc%20template%20with%20logo%20Dec%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3D550081EB334EAF8F45DD0A1D7355" ma:contentTypeVersion="16" ma:contentTypeDescription="Create a new document." ma:contentTypeScope="" ma:versionID="32fd2325253261f825cd465f14d60cff">
  <xsd:schema xmlns:xsd="http://www.w3.org/2001/XMLSchema" xmlns:xs="http://www.w3.org/2001/XMLSchema" xmlns:p="http://schemas.microsoft.com/office/2006/metadata/properties" xmlns:ns2="5748a0df-2f8a-4da5-8455-5cd628953859" xmlns:ns3="8cc2ea65-c719-41d9-988b-71966015e80c" targetNamespace="http://schemas.microsoft.com/office/2006/metadata/properties" ma:root="true" ma:fieldsID="c0092bca6522ffbc6528819025a8fb52" ns2:_="" ns3:_="">
    <xsd:import namespace="5748a0df-2f8a-4da5-8455-5cd628953859"/>
    <xsd:import namespace="8cc2ea65-c719-41d9-988b-71966015e8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8a0df-2f8a-4da5-8455-5cd6289538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dceb6f-fc1d-4969-89bb-c4e422298d3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c2ea65-c719-41d9-988b-71966015e8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a6e20fa-3c5c-466a-bea1-03d1351837d3}" ma:internalName="TaxCatchAll" ma:showField="CatchAllData" ma:web="8cc2ea65-c719-41d9-988b-71966015e8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c2ea65-c719-41d9-988b-71966015e80c" xsi:nil="true"/>
    <lcf76f155ced4ddcb4097134ff3c332f xmlns="5748a0df-2f8a-4da5-8455-5cd6289538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73EA79-0F0C-4BEE-909A-5667E2175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8a0df-2f8a-4da5-8455-5cd628953859"/>
    <ds:schemaRef ds:uri="8cc2ea65-c719-41d9-988b-71966015e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BD55CB-629F-4B0D-89A5-15A4BE6F7CC6}">
  <ds:schemaRefs>
    <ds:schemaRef ds:uri="http://schemas.openxmlformats.org/officeDocument/2006/bibliography"/>
  </ds:schemaRefs>
</ds:datastoreItem>
</file>

<file path=customXml/itemProps3.xml><?xml version="1.0" encoding="utf-8"?>
<ds:datastoreItem xmlns:ds="http://schemas.openxmlformats.org/officeDocument/2006/customXml" ds:itemID="{8C549797-EECB-4E7D-8184-A161FACF514D}">
  <ds:schemaRefs>
    <ds:schemaRef ds:uri="http://schemas.microsoft.com/sharepoint/v3/contenttype/forms"/>
  </ds:schemaRefs>
</ds:datastoreItem>
</file>

<file path=customXml/itemProps4.xml><?xml version="1.0" encoding="utf-8"?>
<ds:datastoreItem xmlns:ds="http://schemas.openxmlformats.org/officeDocument/2006/customXml" ds:itemID="{009F80AA-C63C-45CE-B805-3FD275F28781}">
  <ds:schemaRefs>
    <ds:schemaRef ds:uri="http://schemas.microsoft.com/office/2006/metadata/properties"/>
    <ds:schemaRef ds:uri="http://schemas.microsoft.com/office/infopath/2007/PartnerControls"/>
    <ds:schemaRef ds:uri="8cc2ea65-c719-41d9-988b-71966015e80c"/>
    <ds:schemaRef ds:uri="5748a0df-2f8a-4da5-8455-5cd628953859"/>
  </ds:schemaRefs>
</ds:datastoreItem>
</file>

<file path=docProps/app.xml><?xml version="1.0" encoding="utf-8"?>
<Properties xmlns="http://schemas.openxmlformats.org/officeDocument/2006/extended-properties" xmlns:vt="http://schemas.openxmlformats.org/officeDocument/2006/docPropsVTypes">
  <Template>Word Doc template with logo Dec 2019</Template>
  <TotalTime>0</TotalTime>
  <Pages>11</Pages>
  <Words>2438</Words>
  <Characters>13948</Characters>
  <Application>Microsoft Office Word</Application>
  <DocSecurity>0</DocSecurity>
  <Lines>296</Lines>
  <Paragraphs>70</Paragraphs>
  <ScaleCrop>false</ScaleCrop>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print template</dc:title>
  <dc:subject/>
  <dc:creator>Tara Chattaway</dc:creator>
  <cp:keywords>Clear print, Template</cp:keywords>
  <dc:description/>
  <cp:lastModifiedBy>Sarah Oakes</cp:lastModifiedBy>
  <cp:revision>2</cp:revision>
  <cp:lastPrinted>2026-05-22T09:16:00Z</cp:lastPrinted>
  <dcterms:created xsi:type="dcterms:W3CDTF">2026-09-16T09:35:00Z</dcterms:created>
  <dcterms:modified xsi:type="dcterms:W3CDTF">2026-09-16T09:35:00Z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0x0101009C3D550081EB334EAF8F45DD0A1D7355</vt:lpwstr>
  </property>
  <property fmtid="{D5CDD505-2E9C-101B-9397-08002B2CF9AE}" pid="3" name="MediaServiceImageTags">
    <vt:lpwstr/>
  </property>
</Properties>
</file>