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2C0AB" w14:textId="77777777" w:rsidR="00383F42" w:rsidRPr="00BA1E70" w:rsidRDefault="00383F42" w:rsidP="00BA1E70">
      <w:pPr>
        <w:pStyle w:val="Heading1"/>
      </w:pPr>
      <w:r w:rsidRPr="00BA1E70">
        <w:t>Thomas Pocklington Trust position statement on accessible housing and anti-discrimination</w:t>
      </w:r>
    </w:p>
    <w:p w14:paraId="005F304C" w14:textId="77777777" w:rsidR="0091413F" w:rsidRPr="0091413F" w:rsidRDefault="0091413F" w:rsidP="0091413F"/>
    <w:p w14:paraId="03B65D2E" w14:textId="1B9C2FAD" w:rsidR="00383F42" w:rsidRPr="00383F42" w:rsidRDefault="0091413F" w:rsidP="0091413F">
      <w:pPr>
        <w:pStyle w:val="Heading2"/>
      </w:pPr>
      <w:r>
        <w:t>K</w:t>
      </w:r>
      <w:r w:rsidR="00383F42" w:rsidRPr="00383F42">
        <w:t>ey messages</w:t>
      </w:r>
    </w:p>
    <w:p w14:paraId="51A450B9" w14:textId="77777777" w:rsidR="0091413F" w:rsidRDefault="00383F42" w:rsidP="0091413F">
      <w:pPr>
        <w:pStyle w:val="ListParagraph"/>
        <w:numPr>
          <w:ilvl w:val="0"/>
          <w:numId w:val="18"/>
        </w:numPr>
      </w:pPr>
      <w:r w:rsidRPr="00383F42">
        <w:t>Discrimination against blind and partially sighted (BPS) people in housing is unlawful and unacceptable.</w:t>
      </w:r>
    </w:p>
    <w:p w14:paraId="094BAD42" w14:textId="77777777" w:rsidR="0091413F" w:rsidRDefault="00383F42" w:rsidP="0091413F">
      <w:pPr>
        <w:pStyle w:val="ListParagraph"/>
        <w:numPr>
          <w:ilvl w:val="0"/>
          <w:numId w:val="18"/>
        </w:numPr>
      </w:pPr>
      <w:r w:rsidRPr="00383F42">
        <w:t>Accessible and adaptable homes should be the norm, not the exception.</w:t>
      </w:r>
    </w:p>
    <w:p w14:paraId="0005D6AE" w14:textId="77777777" w:rsidR="0091413F" w:rsidRDefault="00383F42" w:rsidP="0091413F">
      <w:pPr>
        <w:pStyle w:val="ListParagraph"/>
        <w:numPr>
          <w:ilvl w:val="0"/>
          <w:numId w:val="18"/>
        </w:numPr>
      </w:pPr>
      <w:r w:rsidRPr="00383F42">
        <w:t>Housing processes and communications must be accessible at every stage.</w:t>
      </w:r>
    </w:p>
    <w:p w14:paraId="06216742" w14:textId="0CA70F62" w:rsidR="00383F42" w:rsidRDefault="00383F42" w:rsidP="0091413F">
      <w:pPr>
        <w:pStyle w:val="ListParagraph"/>
        <w:numPr>
          <w:ilvl w:val="0"/>
          <w:numId w:val="18"/>
        </w:numPr>
      </w:pPr>
      <w:r w:rsidRPr="00383F42">
        <w:t>We support higher baseline accessibility standards for new homes and timely adaptation of existing stock.</w:t>
      </w:r>
    </w:p>
    <w:p w14:paraId="02E2BD4B" w14:textId="0F035A86" w:rsidR="007229D0" w:rsidRDefault="007229D0" w:rsidP="007229D0">
      <w:pPr>
        <w:pStyle w:val="ListParagraph"/>
        <w:numPr>
          <w:ilvl w:val="0"/>
          <w:numId w:val="18"/>
        </w:numPr>
      </w:pPr>
      <w:r>
        <w:t>The expansion of housing supply must include accessible and adaptable homes. The government’s plan to deliver 1.5 million new homes in England offers a vital opportunity to embed accessibility as a core standard across all tenures.</w:t>
      </w:r>
    </w:p>
    <w:p w14:paraId="7015EEC4" w14:textId="4F84972C" w:rsidR="007229D0" w:rsidRDefault="007229D0" w:rsidP="007229D0">
      <w:pPr>
        <w:pStyle w:val="ListParagraph"/>
        <w:numPr>
          <w:ilvl w:val="0"/>
          <w:numId w:val="18"/>
        </w:numPr>
      </w:pPr>
      <w:r>
        <w:t>As reforms such as the Renters Rights Bill progress, stronger protections for tenants must be accompanied by equal enforcement of accessibility and anti-discrimination requirements.</w:t>
      </w:r>
    </w:p>
    <w:p w14:paraId="17243F06" w14:textId="77777777" w:rsidR="0091413F" w:rsidRPr="00383F42" w:rsidRDefault="0091413F" w:rsidP="0091413F"/>
    <w:p w14:paraId="4A8315A2" w14:textId="58CD0EAC" w:rsidR="00383F42" w:rsidRPr="00383F42" w:rsidRDefault="0091413F" w:rsidP="0091413F">
      <w:pPr>
        <w:pStyle w:val="Heading2"/>
      </w:pPr>
      <w:r>
        <w:t>W</w:t>
      </w:r>
      <w:r w:rsidR="00383F42" w:rsidRPr="00383F42">
        <w:t>hat we know</w:t>
      </w:r>
    </w:p>
    <w:p w14:paraId="49E346DC" w14:textId="77777777" w:rsidR="0091413F" w:rsidRDefault="0091413F" w:rsidP="0091413F">
      <w:r>
        <w:t>BPS</w:t>
      </w:r>
      <w:r w:rsidR="00383F42" w:rsidRPr="00383F42">
        <w:t xml:space="preserve"> people frequently encounter barriers when buying, renting, or adapting a home. These include inaccessible property information, refusal of reasonable adjustments, discriminatory behaviours by landlords or agents, and delays or difficulties accessing adaptations.</w:t>
      </w:r>
    </w:p>
    <w:p w14:paraId="4E935D6B" w14:textId="77777777" w:rsidR="0091413F" w:rsidRDefault="0091413F" w:rsidP="0091413F"/>
    <w:p w14:paraId="6E7701F6" w14:textId="2F22368C" w:rsidR="00383F42" w:rsidRPr="00383F42" w:rsidRDefault="00383F42" w:rsidP="0091413F">
      <w:r w:rsidRPr="00383F42">
        <w:t>The Equality Act 2010 defines blindness and partial sight as disabilities in most cases, meaning landlords, agents, and housing providers must not discriminate and must make reasonable adjustments. Failure to do so is unlawful.</w:t>
      </w:r>
    </w:p>
    <w:p w14:paraId="66931BC6" w14:textId="1F87665D" w:rsidR="00383F42" w:rsidRDefault="00383F42" w:rsidP="0091413F">
      <w:r w:rsidRPr="00383F42">
        <w:t>Building regulations set out minimum accessibility standards, but most new homes are built only to the basic standard. Local authorities can require higher standards, but provision remains inconsistent.</w:t>
      </w:r>
      <w:r w:rsidR="006D2EE4">
        <w:t xml:space="preserve"> </w:t>
      </w:r>
      <w:r w:rsidRPr="00383F42">
        <w:t>Adaptations such as Disabled Facilities Grants are vital but can be slow and difficult to access.</w:t>
      </w:r>
    </w:p>
    <w:p w14:paraId="36A8CBCF" w14:textId="77777777" w:rsidR="0091413F" w:rsidRPr="00383F42" w:rsidRDefault="0091413F" w:rsidP="0091413F"/>
    <w:p w14:paraId="349D59DD" w14:textId="3AC12C36" w:rsidR="00383F42" w:rsidRDefault="00383F42" w:rsidP="006D2EE4">
      <w:pPr>
        <w:pStyle w:val="ListParagraph"/>
        <w:numPr>
          <w:ilvl w:val="0"/>
          <w:numId w:val="19"/>
        </w:numPr>
      </w:pPr>
      <w:r w:rsidRPr="00383F42">
        <w:t>Examples of discriminatory practices in the housing market include:</w:t>
      </w:r>
      <w:r w:rsidRPr="00383F42">
        <w:br/>
        <w:t>Blanket rules excluding disabled tenants or those on benefits.</w:t>
      </w:r>
      <w:r w:rsidRPr="00383F42">
        <w:br/>
        <w:t>Refusal to allow assistance dogs.</w:t>
      </w:r>
      <w:r w:rsidRPr="00383F42">
        <w:br/>
        <w:t>Inflexible policies around guarantors, deposits, or insurance.</w:t>
      </w:r>
      <w:r w:rsidRPr="00383F42">
        <w:br/>
        <w:t>Lack of accessible tenancy agreements, repair information, or safety notices.</w:t>
      </w:r>
    </w:p>
    <w:p w14:paraId="468E4CE6" w14:textId="77777777" w:rsidR="006D2EE4" w:rsidRPr="00383F42" w:rsidRDefault="006D2EE4" w:rsidP="006D2EE4"/>
    <w:p w14:paraId="138D5272" w14:textId="77777777" w:rsidR="00383F42" w:rsidRDefault="00383F42" w:rsidP="006D2EE4">
      <w:r w:rsidRPr="00383F42">
        <w:t>These barriers prevent BPS people from securing safe, affordable homes and undermine independence and equality.</w:t>
      </w:r>
    </w:p>
    <w:p w14:paraId="3CB68297" w14:textId="77777777" w:rsidR="007229D0" w:rsidRDefault="007229D0" w:rsidP="006D2EE4"/>
    <w:p w14:paraId="5EC3524C" w14:textId="77777777" w:rsidR="007229D0" w:rsidRDefault="007229D0" w:rsidP="007229D0">
      <w:r>
        <w:t>The government’s target to increase housing stock by 1.5 million homes by the end of the next Parliament presents both opportunities and risks. Without a firm commitment to category 2 accessibility standards and local delivery of category 3 homes, the expansion could worsen inequality by increasing the number of inaccessible properties.</w:t>
      </w:r>
    </w:p>
    <w:p w14:paraId="06391F0E" w14:textId="77777777" w:rsidR="007229D0" w:rsidRDefault="007229D0" w:rsidP="007229D0"/>
    <w:p w14:paraId="2435EDC6" w14:textId="58690FB6" w:rsidR="007229D0" w:rsidRDefault="007229D0" w:rsidP="007229D0">
      <w:r>
        <w:t>The Renters Rights Bill introduces new rights for tenants, including the abolition of section 21 ‘no fault’ evictions and stronger powers for redress. However, disabled renters will only benefit if enforcement mechanisms also address accessibility and discrimination.</w:t>
      </w:r>
    </w:p>
    <w:p w14:paraId="729FF90B" w14:textId="77777777" w:rsidR="006D2EE4" w:rsidRPr="00383F42" w:rsidRDefault="006D2EE4" w:rsidP="006D2EE4"/>
    <w:p w14:paraId="2FA0AD1E" w14:textId="3317136B" w:rsidR="00383F42" w:rsidRPr="00383F42" w:rsidRDefault="006D2EE4" w:rsidP="006D2EE4">
      <w:pPr>
        <w:pStyle w:val="Heading2"/>
      </w:pPr>
      <w:r>
        <w:t>W</w:t>
      </w:r>
      <w:r w:rsidR="00383F42" w:rsidRPr="00383F42">
        <w:t>hat we believe</w:t>
      </w:r>
    </w:p>
    <w:p w14:paraId="421E193C" w14:textId="77777777" w:rsidR="00383F42" w:rsidRDefault="00383F42" w:rsidP="006D2EE4">
      <w:r w:rsidRPr="00383F42">
        <w:t>We believe that BPS people have the right to equal access to safe, secure, affordable homes and to independent living. Housing design and processes should be inclusive by default, not reliant on case-by-case challenges.</w:t>
      </w:r>
    </w:p>
    <w:p w14:paraId="5CCB7D8C" w14:textId="77777777" w:rsidR="006D2EE4" w:rsidRPr="00383F42" w:rsidRDefault="006D2EE4" w:rsidP="006D2EE4"/>
    <w:p w14:paraId="3DA3F261" w14:textId="77777777" w:rsidR="006153BA" w:rsidRDefault="00383F42" w:rsidP="0014388C">
      <w:r w:rsidRPr="00383F42">
        <w:t>We believe that:</w:t>
      </w:r>
    </w:p>
    <w:p w14:paraId="37A1784A" w14:textId="77777777" w:rsidR="006153BA" w:rsidRDefault="00383F42" w:rsidP="006153BA">
      <w:pPr>
        <w:pStyle w:val="ListParagraph"/>
        <w:numPr>
          <w:ilvl w:val="0"/>
          <w:numId w:val="19"/>
        </w:numPr>
      </w:pPr>
      <w:r w:rsidRPr="00383F42">
        <w:t xml:space="preserve">Accessible and adaptable housing should be the national </w:t>
      </w:r>
      <w:proofErr w:type="gramStart"/>
      <w:r w:rsidRPr="00383F42">
        <w:t>baseline,</w:t>
      </w:r>
      <w:proofErr w:type="gramEnd"/>
      <w:r w:rsidRPr="00383F42">
        <w:t xml:space="preserve"> with category 2 homes as standard and category 3 homes delivered according to local need.</w:t>
      </w:r>
    </w:p>
    <w:p w14:paraId="23A4D273" w14:textId="77777777" w:rsidR="006153BA" w:rsidRDefault="00383F42" w:rsidP="006153BA">
      <w:pPr>
        <w:pStyle w:val="ListParagraph"/>
        <w:numPr>
          <w:ilvl w:val="0"/>
          <w:numId w:val="19"/>
        </w:numPr>
      </w:pPr>
      <w:r w:rsidRPr="00383F42">
        <w:t>Housing communications and processes must be accessible, from property listings and viewings to tenancy agreements and safety information.</w:t>
      </w:r>
    </w:p>
    <w:p w14:paraId="706B6D84" w14:textId="77777777" w:rsidR="006153BA" w:rsidRDefault="00383F42" w:rsidP="006153BA">
      <w:pPr>
        <w:pStyle w:val="ListParagraph"/>
        <w:numPr>
          <w:ilvl w:val="0"/>
          <w:numId w:val="19"/>
        </w:numPr>
      </w:pPr>
      <w:r w:rsidRPr="00383F42">
        <w:t>Discrimination and exclusionary practices in lettings and sales must end, with landlords and agents required to make reasonable adjustments.</w:t>
      </w:r>
    </w:p>
    <w:p w14:paraId="483797FA" w14:textId="77777777" w:rsidR="0014388C" w:rsidRDefault="00383F42" w:rsidP="006153BA">
      <w:pPr>
        <w:pStyle w:val="ListParagraph"/>
        <w:numPr>
          <w:ilvl w:val="0"/>
          <w:numId w:val="19"/>
        </w:numPr>
      </w:pPr>
      <w:r w:rsidRPr="00383F42">
        <w:t>Adaptations should be delivered quickly, consistently, and respectfully, with clear accountability for outcomes.</w:t>
      </w:r>
    </w:p>
    <w:p w14:paraId="17BAFBA0" w14:textId="02030085" w:rsidR="00383F42" w:rsidRDefault="00383F42" w:rsidP="006153BA">
      <w:pPr>
        <w:pStyle w:val="ListParagraph"/>
        <w:numPr>
          <w:ilvl w:val="0"/>
          <w:numId w:val="19"/>
        </w:numPr>
      </w:pPr>
      <w:r w:rsidRPr="00383F42">
        <w:t>Regulators and redress schemes should have the powers and competence to investigate systemic discrimination and enforce improvements.</w:t>
      </w:r>
    </w:p>
    <w:p w14:paraId="3889EAAF" w14:textId="59383D4B" w:rsidR="007229D0" w:rsidRPr="007229D0" w:rsidRDefault="007229D0" w:rsidP="007229D0">
      <w:pPr>
        <w:pStyle w:val="ListParagraph"/>
        <w:numPr>
          <w:ilvl w:val="0"/>
          <w:numId w:val="19"/>
        </w:numPr>
      </w:pPr>
      <w:r w:rsidRPr="007229D0">
        <w:t>We believe that new housing growth must be inclusive from the outset. All government-funded or facilitated development should meet or exceed category 2 accessibility standards, with planning policies requiring a proportion of category 3 wheelchair-accessible homes.</w:t>
      </w:r>
    </w:p>
    <w:p w14:paraId="19CBE8B8" w14:textId="1DFCFEB6" w:rsidR="007229D0" w:rsidRDefault="007229D0" w:rsidP="007229D0">
      <w:pPr>
        <w:pStyle w:val="ListParagraph"/>
        <w:numPr>
          <w:ilvl w:val="0"/>
          <w:numId w:val="19"/>
        </w:numPr>
      </w:pPr>
      <w:r w:rsidRPr="007229D0">
        <w:t>We believe the Renters Rights Bill should explicitly include accessibility and disability-related discrimination within its enforcement and redress framework, ensuring blind and partially sighted tenants are protected and empowered.</w:t>
      </w:r>
    </w:p>
    <w:p w14:paraId="3C8AEE8B" w14:textId="77777777" w:rsidR="00B64581" w:rsidRPr="00383F42" w:rsidRDefault="00B64581" w:rsidP="00B64581"/>
    <w:p w14:paraId="7B53E105" w14:textId="12E2B85C" w:rsidR="00383F42" w:rsidRPr="00383F42" w:rsidRDefault="002A1361" w:rsidP="00B64581">
      <w:pPr>
        <w:pStyle w:val="Heading2"/>
      </w:pPr>
      <w:r>
        <w:t>W</w:t>
      </w:r>
      <w:r w:rsidR="00383F42" w:rsidRPr="00383F42">
        <w:t>hat we do</w:t>
      </w:r>
    </w:p>
    <w:p w14:paraId="5BEC69FC" w14:textId="60C743C2" w:rsidR="00383F42" w:rsidRPr="00383F42" w:rsidRDefault="00383F42" w:rsidP="00201D10">
      <w:pPr>
        <w:pStyle w:val="ListParagraph"/>
        <w:numPr>
          <w:ilvl w:val="0"/>
          <w:numId w:val="19"/>
        </w:numPr>
      </w:pPr>
      <w:r w:rsidRPr="00383F42">
        <w:t>We support BPS people to challenge discrimination, request adjustments, and access adaptations. We provide advice, tools, and pathways to secure fair treatment.</w:t>
      </w:r>
    </w:p>
    <w:p w14:paraId="10B03672" w14:textId="77777777" w:rsidR="00383F42" w:rsidRPr="00383F42" w:rsidRDefault="00383F42" w:rsidP="00201D10">
      <w:pPr>
        <w:pStyle w:val="ListParagraph"/>
        <w:numPr>
          <w:ilvl w:val="0"/>
          <w:numId w:val="19"/>
        </w:numPr>
      </w:pPr>
      <w:r w:rsidRPr="00383F42">
        <w:t>We work with government to advocate for stronger accessibility standards, enforcement of equality law, faster adaptation processes, and better data collection on outcomes for disabled people.</w:t>
      </w:r>
    </w:p>
    <w:p w14:paraId="53256B16" w14:textId="77777777" w:rsidR="00383F42" w:rsidRDefault="00383F42" w:rsidP="00201D10">
      <w:pPr>
        <w:pStyle w:val="ListParagraph"/>
        <w:numPr>
          <w:ilvl w:val="0"/>
          <w:numId w:val="19"/>
        </w:numPr>
      </w:pPr>
      <w:r w:rsidRPr="00383F42">
        <w:t>We call out poor practice, highlight systemic issues, and champion positive examples of accessible housing and inclusive services.</w:t>
      </w:r>
    </w:p>
    <w:p w14:paraId="45910EA7" w14:textId="6C414C59" w:rsidR="007229D0" w:rsidRPr="007229D0" w:rsidRDefault="007229D0" w:rsidP="007229D0">
      <w:pPr>
        <w:pStyle w:val="ListParagraph"/>
        <w:numPr>
          <w:ilvl w:val="0"/>
          <w:numId w:val="19"/>
        </w:numPr>
      </w:pPr>
      <w:r w:rsidRPr="007229D0">
        <w:t>We engage with government departments and local planning authorities to ensure that the national housing delivery target integrates accessibility into design codes, funding conditions, and building standards.</w:t>
      </w:r>
    </w:p>
    <w:p w14:paraId="1FC3CB9E" w14:textId="68EBFF7F" w:rsidR="007229D0" w:rsidRDefault="007229D0" w:rsidP="007229D0">
      <w:pPr>
        <w:pStyle w:val="ListParagraph"/>
        <w:numPr>
          <w:ilvl w:val="0"/>
          <w:numId w:val="19"/>
        </w:numPr>
      </w:pPr>
      <w:r w:rsidRPr="007229D0">
        <w:t>We will monitor the implementation of the Renters Rights Bill, advocating for accessible communication, fair tenancy practices, and inclusion of disabled tenants’ needs in the new property portal and redress systems.</w:t>
      </w:r>
    </w:p>
    <w:p w14:paraId="013775DE" w14:textId="77777777" w:rsidR="002A1361" w:rsidRPr="00383F42" w:rsidRDefault="002A1361" w:rsidP="002A1361"/>
    <w:p w14:paraId="5D8A0342" w14:textId="5FA07E3A" w:rsidR="00383F42" w:rsidRPr="00383F42" w:rsidRDefault="002A1361" w:rsidP="002A1361">
      <w:pPr>
        <w:pStyle w:val="Heading2"/>
      </w:pPr>
      <w:r>
        <w:t>R</w:t>
      </w:r>
      <w:r w:rsidR="00383F42" w:rsidRPr="00383F42">
        <w:t>eferences</w:t>
      </w:r>
    </w:p>
    <w:p w14:paraId="4B8430AD" w14:textId="097BA7EE" w:rsidR="0014388C" w:rsidRDefault="00383F42" w:rsidP="0014388C">
      <w:pPr>
        <w:pStyle w:val="ListParagraph"/>
        <w:numPr>
          <w:ilvl w:val="0"/>
          <w:numId w:val="21"/>
        </w:numPr>
      </w:pPr>
      <w:hyperlink r:id="rId8" w:history="1">
        <w:r w:rsidRPr="00506D2A">
          <w:rPr>
            <w:rStyle w:val="Hyperlink"/>
          </w:rPr>
          <w:t>Equality Act 2010</w:t>
        </w:r>
      </w:hyperlink>
    </w:p>
    <w:p w14:paraId="57BDAD05" w14:textId="090602B6" w:rsidR="0014388C" w:rsidRDefault="00383F42" w:rsidP="0014388C">
      <w:pPr>
        <w:pStyle w:val="ListParagraph"/>
        <w:numPr>
          <w:ilvl w:val="0"/>
          <w:numId w:val="21"/>
        </w:numPr>
      </w:pPr>
      <w:hyperlink r:id="rId9" w:history="1">
        <w:r w:rsidRPr="00373386">
          <w:rPr>
            <w:rStyle w:val="Hyperlink"/>
          </w:rPr>
          <w:t>Building Regulations Approved Document M</w:t>
        </w:r>
      </w:hyperlink>
    </w:p>
    <w:p w14:paraId="7329C949" w14:textId="1709D546" w:rsidR="0014388C" w:rsidRDefault="00383F42" w:rsidP="0014388C">
      <w:pPr>
        <w:pStyle w:val="ListParagraph"/>
        <w:numPr>
          <w:ilvl w:val="0"/>
          <w:numId w:val="21"/>
        </w:numPr>
      </w:pPr>
      <w:hyperlink r:id="rId10" w:history="1">
        <w:r w:rsidRPr="00540FF6">
          <w:rPr>
            <w:rStyle w:val="Hyperlink"/>
          </w:rPr>
          <w:t>EHRC guidance on housing and reasonable adjustments</w:t>
        </w:r>
      </w:hyperlink>
    </w:p>
    <w:p w14:paraId="12ABD3C5" w14:textId="307D0E93" w:rsidR="00383F42" w:rsidRPr="00383F42" w:rsidRDefault="00383F42" w:rsidP="0014388C">
      <w:pPr>
        <w:pStyle w:val="ListParagraph"/>
        <w:numPr>
          <w:ilvl w:val="0"/>
          <w:numId w:val="21"/>
        </w:numPr>
      </w:pPr>
      <w:hyperlink r:id="rId11" w:history="1">
        <w:r w:rsidRPr="00BA1E70">
          <w:rPr>
            <w:rStyle w:val="Hyperlink"/>
          </w:rPr>
          <w:t>Shelter</w:t>
        </w:r>
      </w:hyperlink>
      <w:r w:rsidRPr="00383F42">
        <w:t xml:space="preserve"> and </w:t>
      </w:r>
      <w:hyperlink r:id="rId12" w:history="1">
        <w:r w:rsidRPr="00BA1E70">
          <w:rPr>
            <w:rStyle w:val="Hyperlink"/>
          </w:rPr>
          <w:t>Citizens Advice</w:t>
        </w:r>
      </w:hyperlink>
      <w:r w:rsidRPr="00383F42">
        <w:t xml:space="preserve"> housing rights information</w:t>
      </w:r>
    </w:p>
    <w:p w14:paraId="0260BB0D" w14:textId="77777777" w:rsidR="002A1361" w:rsidRPr="00383F42" w:rsidRDefault="002A1361" w:rsidP="002A1361"/>
    <w:p w14:paraId="2FF22781" w14:textId="77777777" w:rsidR="00383F42" w:rsidRPr="00383F42" w:rsidRDefault="00383F42" w:rsidP="002A1361">
      <w:r w:rsidRPr="00383F42">
        <w:t>Document ends</w:t>
      </w:r>
    </w:p>
    <w:p w14:paraId="59F5546C" w14:textId="5A5AD964" w:rsidR="00F03561" w:rsidRPr="0076230B" w:rsidRDefault="00F03561" w:rsidP="0091413F"/>
    <w:sectPr w:rsidR="00F03561" w:rsidRPr="0076230B" w:rsidSect="003B12EC">
      <w:footerReference w:type="even" r:id="rId13"/>
      <w:footerReference w:type="default" r:id="rId14"/>
      <w:headerReference w:type="first" r:id="rId15"/>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F4D28" w14:textId="77777777" w:rsidR="00EC494C" w:rsidRDefault="00EC494C" w:rsidP="003822A4">
      <w:pPr>
        <w:spacing w:line="240" w:lineRule="auto"/>
      </w:pPr>
      <w:r>
        <w:separator/>
      </w:r>
    </w:p>
  </w:endnote>
  <w:endnote w:type="continuationSeparator" w:id="0">
    <w:p w14:paraId="6C0AFE49" w14:textId="77777777" w:rsidR="00EC494C" w:rsidRDefault="00EC494C"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73737074"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30EB93D"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D411C" w14:textId="77777777" w:rsidR="00EC494C" w:rsidRDefault="00EC494C" w:rsidP="003822A4">
      <w:pPr>
        <w:spacing w:line="240" w:lineRule="auto"/>
      </w:pPr>
      <w:r>
        <w:separator/>
      </w:r>
    </w:p>
  </w:footnote>
  <w:footnote w:type="continuationSeparator" w:id="0">
    <w:p w14:paraId="11F18A9D" w14:textId="77777777" w:rsidR="00EC494C" w:rsidRDefault="00EC494C"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BE884" w14:textId="70AFA470" w:rsidR="005B531D" w:rsidRPr="005B531D" w:rsidRDefault="005B531D" w:rsidP="005B531D">
    <w:pPr>
      <w:pStyle w:val="Header"/>
      <w:tabs>
        <w:tab w:val="right" w:pos="8364"/>
      </w:tabs>
      <w:ind w:right="-755"/>
      <w:jc w:val="right"/>
      <w:rPr>
        <w:noProof/>
      </w:rPr>
    </w:pPr>
    <w:r w:rsidRPr="005B531D">
      <w:rPr>
        <w:noProof/>
      </w:rPr>
      <w:drawing>
        <wp:inline distT="0" distB="0" distL="0" distR="0" wp14:anchorId="0CF65307" wp14:editId="71571FD0">
          <wp:extent cx="1734024" cy="1023937"/>
          <wp:effectExtent l="0" t="0" r="0" b="5080"/>
          <wp:docPr id="20479737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096" cy="1034608"/>
                  </a:xfrm>
                  <a:prstGeom prst="rect">
                    <a:avLst/>
                  </a:prstGeom>
                  <a:noFill/>
                  <a:ln>
                    <a:noFill/>
                  </a:ln>
                </pic:spPr>
              </pic:pic>
            </a:graphicData>
          </a:graphic>
        </wp:inline>
      </w:drawing>
    </w:r>
  </w:p>
  <w:p w14:paraId="61C879D6" w14:textId="40020D6D" w:rsidR="00EF1813" w:rsidRDefault="00EF1813" w:rsidP="003B12EC">
    <w:pPr>
      <w:pStyle w:val="Header"/>
      <w:tabs>
        <w:tab w:val="clear" w:pos="9026"/>
        <w:tab w:val="right" w:pos="8364"/>
      </w:tabs>
      <w:ind w:right="-75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B884B3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DD253EF"/>
    <w:multiLevelType w:val="hybridMultilevel"/>
    <w:tmpl w:val="8042DC94"/>
    <w:lvl w:ilvl="0" w:tplc="B13013DE">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714859"/>
    <w:multiLevelType w:val="multilevel"/>
    <w:tmpl w:val="84926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4" w15:restartNumberingAfterBreak="0">
    <w:nsid w:val="38415ED5"/>
    <w:multiLevelType w:val="hybridMultilevel"/>
    <w:tmpl w:val="D0E22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1557CD"/>
    <w:multiLevelType w:val="hybridMultilevel"/>
    <w:tmpl w:val="A1AA75D0"/>
    <w:lvl w:ilvl="0" w:tplc="08090001">
      <w:start w:val="1"/>
      <w:numFmt w:val="bullet"/>
      <w:lvlText w:val=""/>
      <w:lvlJc w:val="left"/>
      <w:pPr>
        <w:ind w:left="720" w:hanging="360"/>
      </w:pPr>
      <w:rPr>
        <w:rFonts w:ascii="Symbol" w:hAnsi="Symbol" w:hint="default"/>
      </w:rPr>
    </w:lvl>
    <w:lvl w:ilvl="1" w:tplc="42622216">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2D163B"/>
    <w:multiLevelType w:val="hybridMultilevel"/>
    <w:tmpl w:val="24842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FF003D"/>
    <w:multiLevelType w:val="hybridMultilevel"/>
    <w:tmpl w:val="9690B806"/>
    <w:lvl w:ilvl="0" w:tplc="B13013DE">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88A34F5"/>
    <w:multiLevelType w:val="multilevel"/>
    <w:tmpl w:val="B964B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97A3A7B"/>
    <w:multiLevelType w:val="hybridMultilevel"/>
    <w:tmpl w:val="64241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0B7760"/>
    <w:multiLevelType w:val="hybridMultilevel"/>
    <w:tmpl w:val="8F183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667162">
    <w:abstractNumId w:val="9"/>
  </w:num>
  <w:num w:numId="2" w16cid:durableId="806555036">
    <w:abstractNumId w:val="7"/>
  </w:num>
  <w:num w:numId="3" w16cid:durableId="434835918">
    <w:abstractNumId w:val="6"/>
  </w:num>
  <w:num w:numId="4" w16cid:durableId="153231087">
    <w:abstractNumId w:val="5"/>
  </w:num>
  <w:num w:numId="5" w16cid:durableId="1042827519">
    <w:abstractNumId w:val="4"/>
  </w:num>
  <w:num w:numId="6" w16cid:durableId="1682703301">
    <w:abstractNumId w:val="8"/>
  </w:num>
  <w:num w:numId="7" w16cid:durableId="1075201279">
    <w:abstractNumId w:val="3"/>
  </w:num>
  <w:num w:numId="8" w16cid:durableId="1344434318">
    <w:abstractNumId w:val="2"/>
  </w:num>
  <w:num w:numId="9" w16cid:durableId="1219129051">
    <w:abstractNumId w:val="1"/>
  </w:num>
  <w:num w:numId="10" w16cid:durableId="460344585">
    <w:abstractNumId w:val="0"/>
  </w:num>
  <w:num w:numId="11" w16cid:durableId="1074625730">
    <w:abstractNumId w:val="13"/>
  </w:num>
  <w:num w:numId="12" w16cid:durableId="530997208">
    <w:abstractNumId w:val="12"/>
  </w:num>
  <w:num w:numId="13" w16cid:durableId="2131244491">
    <w:abstractNumId w:val="17"/>
  </w:num>
  <w:num w:numId="14" w16cid:durableId="951671380">
    <w:abstractNumId w:val="10"/>
  </w:num>
  <w:num w:numId="15" w16cid:durableId="498278394">
    <w:abstractNumId w:val="20"/>
  </w:num>
  <w:num w:numId="16" w16cid:durableId="2034912994">
    <w:abstractNumId w:val="18"/>
  </w:num>
  <w:num w:numId="17" w16cid:durableId="900555432">
    <w:abstractNumId w:val="11"/>
  </w:num>
  <w:num w:numId="18" w16cid:durableId="290941546">
    <w:abstractNumId w:val="14"/>
  </w:num>
  <w:num w:numId="19" w16cid:durableId="181289879">
    <w:abstractNumId w:val="15"/>
  </w:num>
  <w:num w:numId="20" w16cid:durableId="1058087979">
    <w:abstractNumId w:val="16"/>
  </w:num>
  <w:num w:numId="21" w16cid:durableId="10909346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BA5"/>
    <w:rsid w:val="00044C38"/>
    <w:rsid w:val="000E7A04"/>
    <w:rsid w:val="000F3ECD"/>
    <w:rsid w:val="00103957"/>
    <w:rsid w:val="0014388C"/>
    <w:rsid w:val="0015064A"/>
    <w:rsid w:val="001629F9"/>
    <w:rsid w:val="0016575C"/>
    <w:rsid w:val="00181FDD"/>
    <w:rsid w:val="001E1682"/>
    <w:rsid w:val="00201B0D"/>
    <w:rsid w:val="00201D10"/>
    <w:rsid w:val="002020C2"/>
    <w:rsid w:val="00245CEE"/>
    <w:rsid w:val="00257D0F"/>
    <w:rsid w:val="0027154B"/>
    <w:rsid w:val="00276DA2"/>
    <w:rsid w:val="00291D3E"/>
    <w:rsid w:val="002A1361"/>
    <w:rsid w:val="002C1A2F"/>
    <w:rsid w:val="002D53FA"/>
    <w:rsid w:val="00322436"/>
    <w:rsid w:val="00347A77"/>
    <w:rsid w:val="00373386"/>
    <w:rsid w:val="003822A4"/>
    <w:rsid w:val="00383F42"/>
    <w:rsid w:val="003A3577"/>
    <w:rsid w:val="003B12EC"/>
    <w:rsid w:val="003D76BE"/>
    <w:rsid w:val="003F012A"/>
    <w:rsid w:val="00424262"/>
    <w:rsid w:val="00444C61"/>
    <w:rsid w:val="004A7C4A"/>
    <w:rsid w:val="004E299E"/>
    <w:rsid w:val="004F02A2"/>
    <w:rsid w:val="00506D2A"/>
    <w:rsid w:val="00515BA5"/>
    <w:rsid w:val="00536552"/>
    <w:rsid w:val="00540FF6"/>
    <w:rsid w:val="0057209D"/>
    <w:rsid w:val="00575C86"/>
    <w:rsid w:val="005767C1"/>
    <w:rsid w:val="00585C5B"/>
    <w:rsid w:val="005B531D"/>
    <w:rsid w:val="005C5259"/>
    <w:rsid w:val="005C7123"/>
    <w:rsid w:val="006153BA"/>
    <w:rsid w:val="00632CED"/>
    <w:rsid w:val="006D2EE4"/>
    <w:rsid w:val="006D30F2"/>
    <w:rsid w:val="006F5F18"/>
    <w:rsid w:val="007229D0"/>
    <w:rsid w:val="00731D7C"/>
    <w:rsid w:val="0074655D"/>
    <w:rsid w:val="0076230B"/>
    <w:rsid w:val="0077642E"/>
    <w:rsid w:val="007E029E"/>
    <w:rsid w:val="007E18AB"/>
    <w:rsid w:val="00801A49"/>
    <w:rsid w:val="008561E5"/>
    <w:rsid w:val="0089200C"/>
    <w:rsid w:val="008C2D45"/>
    <w:rsid w:val="008C42F2"/>
    <w:rsid w:val="0091413F"/>
    <w:rsid w:val="0093728D"/>
    <w:rsid w:val="00A05E0F"/>
    <w:rsid w:val="00A11BEC"/>
    <w:rsid w:val="00A24C4B"/>
    <w:rsid w:val="00A42DD2"/>
    <w:rsid w:val="00A706DE"/>
    <w:rsid w:val="00A8471F"/>
    <w:rsid w:val="00A90FFE"/>
    <w:rsid w:val="00A914EE"/>
    <w:rsid w:val="00B64581"/>
    <w:rsid w:val="00B83E0B"/>
    <w:rsid w:val="00BA1E70"/>
    <w:rsid w:val="00BA615E"/>
    <w:rsid w:val="00BC3588"/>
    <w:rsid w:val="00C20DF5"/>
    <w:rsid w:val="00C510AD"/>
    <w:rsid w:val="00C51C5A"/>
    <w:rsid w:val="00C63E24"/>
    <w:rsid w:val="00C86316"/>
    <w:rsid w:val="00CE17F9"/>
    <w:rsid w:val="00D214B0"/>
    <w:rsid w:val="00D34E2C"/>
    <w:rsid w:val="00D62AF9"/>
    <w:rsid w:val="00DB4CE4"/>
    <w:rsid w:val="00DD44D1"/>
    <w:rsid w:val="00E44C38"/>
    <w:rsid w:val="00E44D31"/>
    <w:rsid w:val="00EB761F"/>
    <w:rsid w:val="00EC494C"/>
    <w:rsid w:val="00ED3C20"/>
    <w:rsid w:val="00EF1813"/>
    <w:rsid w:val="00F03561"/>
    <w:rsid w:val="00F153C0"/>
    <w:rsid w:val="00F40DBD"/>
    <w:rsid w:val="00F906CF"/>
    <w:rsid w:val="00FA0968"/>
    <w:rsid w:val="00FC57F6"/>
    <w:rsid w:val="00FE16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867EAC"/>
  <w15:chartTrackingRefBased/>
  <w15:docId w15:val="{1384130A-BFB3-4BDF-B585-1FED493BA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NormalWeb">
    <w:name w:val="Normal (Web)"/>
    <w:basedOn w:val="Normal"/>
    <w:uiPriority w:val="99"/>
    <w:semiHidden/>
    <w:unhideWhenUsed/>
    <w:rsid w:val="00515B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15BA5"/>
    <w:rPr>
      <w:b/>
      <w:bCs/>
    </w:rPr>
  </w:style>
  <w:style w:type="paragraph" w:styleId="ListParagraph">
    <w:name w:val="List Paragraph"/>
    <w:basedOn w:val="Normal"/>
    <w:uiPriority w:val="34"/>
    <w:rsid w:val="00E44D31"/>
    <w:pPr>
      <w:ind w:left="720"/>
      <w:contextualSpacing/>
    </w:pPr>
  </w:style>
  <w:style w:type="paragraph" w:styleId="EndnoteText">
    <w:name w:val="endnote text"/>
    <w:basedOn w:val="Normal"/>
    <w:link w:val="EndnoteTextChar"/>
    <w:uiPriority w:val="99"/>
    <w:semiHidden/>
    <w:unhideWhenUsed/>
    <w:rsid w:val="002C1A2F"/>
    <w:pPr>
      <w:spacing w:line="240" w:lineRule="auto"/>
    </w:pPr>
    <w:rPr>
      <w:sz w:val="20"/>
      <w:szCs w:val="20"/>
    </w:rPr>
  </w:style>
  <w:style w:type="character" w:customStyle="1" w:styleId="EndnoteTextChar">
    <w:name w:val="Endnote Text Char"/>
    <w:basedOn w:val="DefaultParagraphFont"/>
    <w:link w:val="EndnoteText"/>
    <w:uiPriority w:val="99"/>
    <w:semiHidden/>
    <w:rsid w:val="002C1A2F"/>
    <w:rPr>
      <w:sz w:val="20"/>
      <w:szCs w:val="20"/>
    </w:rPr>
  </w:style>
  <w:style w:type="character" w:styleId="EndnoteReference">
    <w:name w:val="endnote reference"/>
    <w:basedOn w:val="DefaultParagraphFont"/>
    <w:uiPriority w:val="99"/>
    <w:semiHidden/>
    <w:unhideWhenUsed/>
    <w:rsid w:val="002C1A2F"/>
    <w:rPr>
      <w:vertAlign w:val="superscript"/>
    </w:rPr>
  </w:style>
  <w:style w:type="character" w:styleId="Hyperlink">
    <w:name w:val="Hyperlink"/>
    <w:basedOn w:val="DefaultParagraphFont"/>
    <w:uiPriority w:val="99"/>
    <w:unhideWhenUsed/>
    <w:rsid w:val="002C1A2F"/>
    <w:rPr>
      <w:color w:val="0563C1" w:themeColor="hyperlink"/>
      <w:u w:val="single"/>
    </w:rPr>
  </w:style>
  <w:style w:type="character" w:styleId="UnresolvedMention">
    <w:name w:val="Unresolved Mention"/>
    <w:basedOn w:val="DefaultParagraphFont"/>
    <w:uiPriority w:val="99"/>
    <w:semiHidden/>
    <w:unhideWhenUsed/>
    <w:rsid w:val="002C1A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47766">
      <w:bodyDiv w:val="1"/>
      <w:marLeft w:val="0"/>
      <w:marRight w:val="0"/>
      <w:marTop w:val="0"/>
      <w:marBottom w:val="0"/>
      <w:divBdr>
        <w:top w:val="none" w:sz="0" w:space="0" w:color="auto"/>
        <w:left w:val="none" w:sz="0" w:space="0" w:color="auto"/>
        <w:bottom w:val="none" w:sz="0" w:space="0" w:color="auto"/>
        <w:right w:val="none" w:sz="0" w:space="0" w:color="auto"/>
      </w:divBdr>
    </w:div>
    <w:div w:id="127167319">
      <w:bodyDiv w:val="1"/>
      <w:marLeft w:val="0"/>
      <w:marRight w:val="0"/>
      <w:marTop w:val="0"/>
      <w:marBottom w:val="0"/>
      <w:divBdr>
        <w:top w:val="none" w:sz="0" w:space="0" w:color="auto"/>
        <w:left w:val="none" w:sz="0" w:space="0" w:color="auto"/>
        <w:bottom w:val="none" w:sz="0" w:space="0" w:color="auto"/>
        <w:right w:val="none" w:sz="0" w:space="0" w:color="auto"/>
      </w:divBdr>
    </w:div>
    <w:div w:id="204031074">
      <w:bodyDiv w:val="1"/>
      <w:marLeft w:val="0"/>
      <w:marRight w:val="0"/>
      <w:marTop w:val="0"/>
      <w:marBottom w:val="0"/>
      <w:divBdr>
        <w:top w:val="none" w:sz="0" w:space="0" w:color="auto"/>
        <w:left w:val="none" w:sz="0" w:space="0" w:color="auto"/>
        <w:bottom w:val="none" w:sz="0" w:space="0" w:color="auto"/>
        <w:right w:val="none" w:sz="0" w:space="0" w:color="auto"/>
      </w:divBdr>
    </w:div>
    <w:div w:id="979847914">
      <w:bodyDiv w:val="1"/>
      <w:marLeft w:val="0"/>
      <w:marRight w:val="0"/>
      <w:marTop w:val="0"/>
      <w:marBottom w:val="0"/>
      <w:divBdr>
        <w:top w:val="none" w:sz="0" w:space="0" w:color="auto"/>
        <w:left w:val="none" w:sz="0" w:space="0" w:color="auto"/>
        <w:bottom w:val="none" w:sz="0" w:space="0" w:color="auto"/>
        <w:right w:val="none" w:sz="0" w:space="0" w:color="auto"/>
      </w:divBdr>
    </w:div>
    <w:div w:id="1045450161">
      <w:bodyDiv w:val="1"/>
      <w:marLeft w:val="0"/>
      <w:marRight w:val="0"/>
      <w:marTop w:val="0"/>
      <w:marBottom w:val="0"/>
      <w:divBdr>
        <w:top w:val="none" w:sz="0" w:space="0" w:color="auto"/>
        <w:left w:val="none" w:sz="0" w:space="0" w:color="auto"/>
        <w:bottom w:val="none" w:sz="0" w:space="0" w:color="auto"/>
        <w:right w:val="none" w:sz="0" w:space="0" w:color="auto"/>
      </w:divBdr>
    </w:div>
    <w:div w:id="1067147911">
      <w:bodyDiv w:val="1"/>
      <w:marLeft w:val="0"/>
      <w:marRight w:val="0"/>
      <w:marTop w:val="0"/>
      <w:marBottom w:val="0"/>
      <w:divBdr>
        <w:top w:val="none" w:sz="0" w:space="0" w:color="auto"/>
        <w:left w:val="none" w:sz="0" w:space="0" w:color="auto"/>
        <w:bottom w:val="none" w:sz="0" w:space="0" w:color="auto"/>
        <w:right w:val="none" w:sz="0" w:space="0" w:color="auto"/>
      </w:divBdr>
    </w:div>
    <w:div w:id="1132477916">
      <w:bodyDiv w:val="1"/>
      <w:marLeft w:val="0"/>
      <w:marRight w:val="0"/>
      <w:marTop w:val="0"/>
      <w:marBottom w:val="0"/>
      <w:divBdr>
        <w:top w:val="none" w:sz="0" w:space="0" w:color="auto"/>
        <w:left w:val="none" w:sz="0" w:space="0" w:color="auto"/>
        <w:bottom w:val="none" w:sz="0" w:space="0" w:color="auto"/>
        <w:right w:val="none" w:sz="0" w:space="0" w:color="auto"/>
      </w:divBdr>
    </w:div>
    <w:div w:id="1226525785">
      <w:bodyDiv w:val="1"/>
      <w:marLeft w:val="0"/>
      <w:marRight w:val="0"/>
      <w:marTop w:val="0"/>
      <w:marBottom w:val="0"/>
      <w:divBdr>
        <w:top w:val="none" w:sz="0" w:space="0" w:color="auto"/>
        <w:left w:val="none" w:sz="0" w:space="0" w:color="auto"/>
        <w:bottom w:val="none" w:sz="0" w:space="0" w:color="auto"/>
        <w:right w:val="none" w:sz="0" w:space="0" w:color="auto"/>
      </w:divBdr>
    </w:div>
    <w:div w:id="1324119140">
      <w:bodyDiv w:val="1"/>
      <w:marLeft w:val="0"/>
      <w:marRight w:val="0"/>
      <w:marTop w:val="0"/>
      <w:marBottom w:val="0"/>
      <w:divBdr>
        <w:top w:val="none" w:sz="0" w:space="0" w:color="auto"/>
        <w:left w:val="none" w:sz="0" w:space="0" w:color="auto"/>
        <w:bottom w:val="none" w:sz="0" w:space="0" w:color="auto"/>
        <w:right w:val="none" w:sz="0" w:space="0" w:color="auto"/>
      </w:divBdr>
    </w:div>
    <w:div w:id="1363241181">
      <w:bodyDiv w:val="1"/>
      <w:marLeft w:val="0"/>
      <w:marRight w:val="0"/>
      <w:marTop w:val="0"/>
      <w:marBottom w:val="0"/>
      <w:divBdr>
        <w:top w:val="none" w:sz="0" w:space="0" w:color="auto"/>
        <w:left w:val="none" w:sz="0" w:space="0" w:color="auto"/>
        <w:bottom w:val="none" w:sz="0" w:space="0" w:color="auto"/>
        <w:right w:val="none" w:sz="0" w:space="0" w:color="auto"/>
      </w:divBdr>
    </w:div>
    <w:div w:id="1630940267">
      <w:bodyDiv w:val="1"/>
      <w:marLeft w:val="0"/>
      <w:marRight w:val="0"/>
      <w:marTop w:val="0"/>
      <w:marBottom w:val="0"/>
      <w:divBdr>
        <w:top w:val="none" w:sz="0" w:space="0" w:color="auto"/>
        <w:left w:val="none" w:sz="0" w:space="0" w:color="auto"/>
        <w:bottom w:val="none" w:sz="0" w:space="0" w:color="auto"/>
        <w:right w:val="none" w:sz="0" w:space="0" w:color="auto"/>
      </w:divBdr>
    </w:div>
    <w:div w:id="1736271106">
      <w:bodyDiv w:val="1"/>
      <w:marLeft w:val="0"/>
      <w:marRight w:val="0"/>
      <w:marTop w:val="0"/>
      <w:marBottom w:val="0"/>
      <w:divBdr>
        <w:top w:val="none" w:sz="0" w:space="0" w:color="auto"/>
        <w:left w:val="none" w:sz="0" w:space="0" w:color="auto"/>
        <w:bottom w:val="none" w:sz="0" w:space="0" w:color="auto"/>
        <w:right w:val="none" w:sz="0" w:space="0" w:color="auto"/>
      </w:divBdr>
    </w:div>
    <w:div w:id="197848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uidance/equality-act-2010-guidanc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itizensadvice.org.uk/housing/housing-discrimination/discrimination-in-housing/taking-action/asking-for-adjustments-to-help-with-your-disability/"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gland.shelter.org.uk/professional_resources/legal/housing_options/discrimination_in_housing/direct_and_indirect_discrimination_in_housin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equalityhumanrights.com/human-rights/human-rights-tracker/housing-uk-government-action" TargetMode="External"/><Relationship Id="rId4" Type="http://schemas.openxmlformats.org/officeDocument/2006/relationships/settings" Target="settings.xml"/><Relationship Id="rId9" Type="http://schemas.openxmlformats.org/officeDocument/2006/relationships/hyperlink" Target="https://www.gov.uk/government/publications/access-to-and-use-of-buildings-approved-document-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bell\OneDrive%20-%20Thomas%20Pocklington%20Trust\Documents\Custom%20Office%20Templates\Word%20Doc%20template%20with%20logo%20Dec%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Doc template with logo Dec 2019</Template>
  <TotalTime>29</TotalTime>
  <Pages>5</Pages>
  <Words>815</Words>
  <Characters>5078</Characters>
  <Application>Microsoft Office Word</Application>
  <DocSecurity>0</DocSecurity>
  <Lines>133</Lines>
  <Paragraphs>49</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Mike Bell</dc:creator>
  <cp:keywords>Clear print, Template</cp:keywords>
  <dc:description/>
  <cp:lastModifiedBy>Leon Choi</cp:lastModifiedBy>
  <cp:revision>18</cp:revision>
  <dcterms:created xsi:type="dcterms:W3CDTF">2025-09-02T09:42:00Z</dcterms:created>
  <dcterms:modified xsi:type="dcterms:W3CDTF">2025-10-27T10:48:00Z</dcterms:modified>
</cp:coreProperties>
</file>